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Arial" w:hAnsi="Arial" w:cs="Arial"/>
          <w:b/>
          <w:sz w:val="24"/>
        </w:rPr>
      </w:pPr>
      <w:r>
        <w:rPr>
          <w:rFonts w:ascii="Arial" w:hAnsi="Arial" w:cs="Arial"/>
          <w:b/>
          <w:sz w:val="24"/>
        </w:rPr>
        <w:t>OBRAZLOŽENJE</w:t>
      </w:r>
    </w:p>
    <w:p>
      <w:pPr>
        <w:jc w:val="center"/>
        <w:rPr>
          <w:rFonts w:ascii="Arial" w:hAnsi="Arial" w:cs="Arial"/>
          <w:b/>
          <w:sz w:val="24"/>
        </w:rPr>
      </w:pPr>
      <w:r>
        <w:rPr>
          <w:rFonts w:ascii="Arial" w:hAnsi="Arial" w:cs="Arial"/>
          <w:b/>
          <w:sz w:val="24"/>
        </w:rPr>
        <w:t xml:space="preserve"> uz Proračun Općine Pokupsko za 2023.godinu i projekcije za 2024. i 2025.godinu</w:t>
      </w:r>
    </w:p>
    <w:p>
      <w:pPr>
        <w:jc w:val="center"/>
        <w:rPr>
          <w:rFonts w:ascii="Arial" w:hAnsi="Arial" w:cs="Arial"/>
          <w:b/>
          <w:sz w:val="24"/>
        </w:rPr>
      </w:pPr>
    </w:p>
    <w:p>
      <w:pPr>
        <w:jc w:val="both"/>
        <w:rPr>
          <w:rFonts w:ascii="Arial" w:hAnsi="Arial" w:cs="Arial"/>
          <w:b/>
          <w:sz w:val="24"/>
        </w:rPr>
      </w:pPr>
      <w:r>
        <w:rPr>
          <w:rFonts w:ascii="Arial" w:hAnsi="Arial" w:cs="Arial"/>
          <w:b/>
          <w:sz w:val="24"/>
        </w:rPr>
        <w:t>UVOD</w:t>
      </w:r>
    </w:p>
    <w:p>
      <w:pPr>
        <w:jc w:val="both"/>
        <w:rPr>
          <w:rFonts w:ascii="Arial" w:hAnsi="Arial" w:cs="Arial"/>
          <w:sz w:val="24"/>
        </w:rPr>
      </w:pPr>
      <w:r>
        <w:rPr>
          <w:rFonts w:ascii="Arial" w:hAnsi="Arial" w:cs="Arial"/>
          <w:sz w:val="24"/>
        </w:rPr>
        <w:tab/>
        <w:t>Sukladno Zakonu o proračunu („Narodne novine“, broj 144/21), čije odredbe se primjenjuje na postupke planiranja proračuna za 2023. i buduće godine, kao i promjenama vezanim uz službenu valutu od 1.1.2023. godine, Ministarstvo financija izdalo je Upute za izradu proračuna jedinica lokalne samouprave .</w:t>
      </w:r>
    </w:p>
    <w:p>
      <w:pPr>
        <w:jc w:val="both"/>
        <w:rPr>
          <w:rFonts w:ascii="Arial" w:hAnsi="Arial" w:cs="Arial"/>
          <w:sz w:val="24"/>
        </w:rPr>
      </w:pPr>
      <w:r>
        <w:rPr>
          <w:rFonts w:ascii="Arial" w:hAnsi="Arial" w:cs="Arial"/>
          <w:sz w:val="24"/>
        </w:rPr>
        <w:tab/>
        <w:t>Temeljem navedenih Uputa izrađen je Prijedlog proračuna za 2023. godinu i projekcija za 2024. i 2025. godinu , te se isti upućuje predstavničkom tijelu na usvajanje.</w:t>
      </w:r>
    </w:p>
    <w:p>
      <w:pPr>
        <w:jc w:val="both"/>
        <w:rPr>
          <w:rFonts w:ascii="Arial" w:hAnsi="Arial" w:cs="Arial"/>
          <w:sz w:val="24"/>
        </w:rPr>
      </w:pPr>
      <w:r>
        <w:rPr>
          <w:rFonts w:ascii="Arial" w:hAnsi="Arial" w:cs="Arial"/>
          <w:sz w:val="24"/>
        </w:rPr>
        <w:tab/>
        <w:t>Sadržaj i struktura Proračuna razlikuju se u odnosu na prethodne godine, a najznačajnije promjene se odnose na slijedeće:</w:t>
      </w:r>
    </w:p>
    <w:p>
      <w:pPr>
        <w:jc w:val="both"/>
        <w:rPr>
          <w:rFonts w:ascii="Arial" w:hAnsi="Arial" w:cs="Arial"/>
          <w:sz w:val="24"/>
        </w:rPr>
      </w:pPr>
      <w:r>
        <w:rPr>
          <w:rFonts w:ascii="Arial" w:hAnsi="Arial" w:cs="Arial"/>
          <w:sz w:val="24"/>
        </w:rPr>
        <w:t>- Proračun se predlaže i usvaja na razini skupine ekonomske klasifikacije (druga razina računskog plana - dvije znamenke) isto tako i za 2024. i 2025. godinu.</w:t>
      </w:r>
    </w:p>
    <w:p>
      <w:pPr>
        <w:jc w:val="both"/>
        <w:rPr>
          <w:rFonts w:ascii="Arial" w:hAnsi="Arial" w:cs="Arial"/>
          <w:sz w:val="24"/>
        </w:rPr>
      </w:pPr>
      <w:r>
        <w:rPr>
          <w:rFonts w:ascii="Arial" w:hAnsi="Arial" w:cs="Arial"/>
          <w:sz w:val="24"/>
        </w:rPr>
        <w:t>- u općem dijelu Proračuna, Računu prihoda i rashoda, rashodi se iskazuju i prema funkcijskoj klasifikaciji</w:t>
      </w:r>
    </w:p>
    <w:p>
      <w:pPr>
        <w:jc w:val="both"/>
        <w:rPr>
          <w:rFonts w:ascii="Arial" w:hAnsi="Arial" w:cs="Arial"/>
          <w:sz w:val="24"/>
        </w:rPr>
      </w:pPr>
      <w:r>
        <w:rPr>
          <w:rFonts w:ascii="Arial" w:hAnsi="Arial" w:cs="Arial"/>
          <w:sz w:val="24"/>
        </w:rPr>
        <w:t>- opći dio Proračuna obvezno sadrži i sažetak Računa prihoda i rashoda te sažetak Računa financiranja prema zadanoj formi i sadržaju.</w:t>
      </w:r>
    </w:p>
    <w:p>
      <w:pPr>
        <w:jc w:val="both"/>
        <w:rPr>
          <w:rFonts w:ascii="Arial" w:hAnsi="Arial" w:cs="Arial"/>
          <w:sz w:val="24"/>
        </w:rPr>
      </w:pPr>
      <w:r>
        <w:rPr>
          <w:rFonts w:ascii="Arial" w:hAnsi="Arial" w:cs="Arial"/>
          <w:sz w:val="24"/>
        </w:rPr>
        <w:t xml:space="preserve">- planirani iznosi u Proračunu za razdoblje 2023.-2025. godinu moraju biti iskazani u novoj službenoj valuti euru. </w:t>
      </w:r>
    </w:p>
    <w:p>
      <w:pPr>
        <w:ind w:firstLine="708"/>
        <w:rPr>
          <w:rStyle w:val="markedcontent"/>
          <w:rFonts w:ascii="Arial" w:hAnsi="Arial" w:cs="Arial"/>
          <w:sz w:val="24"/>
          <w:szCs w:val="30"/>
        </w:rPr>
      </w:pPr>
      <w:r>
        <w:rPr>
          <w:rStyle w:val="markedcontent"/>
          <w:rFonts w:ascii="Arial" w:hAnsi="Arial" w:cs="Arial"/>
          <w:sz w:val="24"/>
          <w:szCs w:val="30"/>
        </w:rPr>
        <w:t>Proračun za 2023. godinu s projekcijama za 2024. i 2025. godinu konsolidirani je proračun, što znači da uključuje sve prihode i primitke, rashode i izdatke Općine Pokupsko i proračunskog korisnika Općinske knjižnice Pokupsko.</w:t>
      </w:r>
    </w:p>
    <w:p>
      <w:pPr>
        <w:ind w:firstLine="708"/>
        <w:rPr>
          <w:rStyle w:val="markedcontent"/>
          <w:rFonts w:ascii="Arial" w:hAnsi="Arial" w:cs="Arial"/>
          <w:sz w:val="24"/>
          <w:szCs w:val="30"/>
        </w:rPr>
      </w:pPr>
    </w:p>
    <w:p>
      <w:pPr>
        <w:rPr>
          <w:rFonts w:ascii="Arial" w:hAnsi="Arial" w:cs="Arial"/>
          <w:i/>
          <w:sz w:val="18"/>
        </w:rPr>
      </w:pPr>
      <w:r>
        <w:rPr>
          <w:rStyle w:val="markedcontent"/>
          <w:rFonts w:ascii="Arial" w:hAnsi="Arial" w:cs="Arial"/>
          <w:i/>
          <w:sz w:val="24"/>
          <w:szCs w:val="30"/>
        </w:rPr>
        <w:t>Tablica 1.: Struktura Proračuna za 2023.godinu i projekcije za 2024. i 2025.godinu</w:t>
      </w:r>
    </w:p>
    <w:tbl>
      <w:tblPr>
        <w:tblW w:w="11199" w:type="dxa"/>
        <w:jc w:val="center"/>
        <w:tblLook w:val="04A0" w:firstRow="1" w:lastRow="0" w:firstColumn="1" w:lastColumn="0" w:noHBand="0" w:noVBand="1"/>
      </w:tblPr>
      <w:tblGrid>
        <w:gridCol w:w="1052"/>
        <w:gridCol w:w="1507"/>
        <w:gridCol w:w="1384"/>
        <w:gridCol w:w="1496"/>
        <w:gridCol w:w="1384"/>
        <w:gridCol w:w="1496"/>
        <w:gridCol w:w="1384"/>
        <w:gridCol w:w="1496"/>
      </w:tblGrid>
      <w:tr>
        <w:trPr>
          <w:trHeight w:val="419"/>
          <w:jc w:val="center"/>
        </w:trPr>
        <w:tc>
          <w:tcPr>
            <w:tcW w:w="2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Plan 1 (€)</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Plan 1 (HRK)</w:t>
            </w:r>
          </w:p>
        </w:tc>
        <w:tc>
          <w:tcPr>
            <w:tcW w:w="1384" w:type="dxa"/>
            <w:tcBorders>
              <w:top w:val="single" w:sz="4" w:space="0" w:color="auto"/>
              <w:left w:val="nil"/>
              <w:bottom w:val="single" w:sz="4" w:space="0" w:color="auto"/>
              <w:right w:val="single" w:sz="4" w:space="0" w:color="auto"/>
            </w:tcBorders>
            <w:shd w:val="clear" w:color="auto" w:fill="auto"/>
            <w:vAlign w:val="bottom"/>
            <w:hideMark/>
          </w:tcPr>
          <w:p>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Projekcija 2(€)</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Projekcija 2 (HRK)</w:t>
            </w:r>
          </w:p>
        </w:tc>
        <w:tc>
          <w:tcPr>
            <w:tcW w:w="1384" w:type="dxa"/>
            <w:tcBorders>
              <w:top w:val="single" w:sz="4" w:space="0" w:color="auto"/>
              <w:left w:val="nil"/>
              <w:bottom w:val="single" w:sz="4" w:space="0" w:color="auto"/>
              <w:right w:val="single" w:sz="4" w:space="0" w:color="auto"/>
            </w:tcBorders>
            <w:shd w:val="clear" w:color="auto" w:fill="auto"/>
            <w:vAlign w:val="bottom"/>
            <w:hideMark/>
          </w:tcPr>
          <w:p>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Projekcija 3 (€)</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Projekcija 3 (HRK)</w:t>
            </w:r>
          </w:p>
        </w:tc>
      </w:tr>
      <w:tr>
        <w:trPr>
          <w:trHeight w:val="209"/>
          <w:jc w:val="center"/>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b/>
                <w:bCs/>
                <w:sz w:val="20"/>
                <w:szCs w:val="20"/>
                <w:lang w:eastAsia="hr-HR"/>
              </w:rPr>
            </w:pPr>
            <w:r>
              <w:rPr>
                <w:rFonts w:ascii="Arial" w:eastAsia="Times New Roman" w:hAnsi="Arial" w:cs="Arial"/>
                <w:b/>
                <w:bCs/>
                <w:sz w:val="20"/>
                <w:szCs w:val="20"/>
                <w:lang w:eastAsia="hr-HR"/>
              </w:rPr>
              <w:t>BROJ KONTA</w:t>
            </w:r>
          </w:p>
        </w:tc>
        <w:tc>
          <w:tcPr>
            <w:tcW w:w="1507"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c>
          <w:tcPr>
            <w:tcW w:w="138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2023</w:t>
            </w:r>
          </w:p>
        </w:tc>
        <w:tc>
          <w:tcPr>
            <w:tcW w:w="14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2023</w:t>
            </w:r>
          </w:p>
        </w:tc>
        <w:tc>
          <w:tcPr>
            <w:tcW w:w="138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2024</w:t>
            </w:r>
          </w:p>
        </w:tc>
        <w:tc>
          <w:tcPr>
            <w:tcW w:w="14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2024</w:t>
            </w:r>
          </w:p>
        </w:tc>
        <w:tc>
          <w:tcPr>
            <w:tcW w:w="138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2025</w:t>
            </w:r>
          </w:p>
        </w:tc>
        <w:tc>
          <w:tcPr>
            <w:tcW w:w="14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2025</w:t>
            </w:r>
          </w:p>
        </w:tc>
      </w:tr>
      <w:tr>
        <w:trPr>
          <w:trHeight w:val="209"/>
          <w:jc w:val="center"/>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6</w:t>
            </w:r>
          </w:p>
        </w:tc>
        <w:tc>
          <w:tcPr>
            <w:tcW w:w="1507"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Prihodi poslovanja</w:t>
            </w:r>
          </w:p>
        </w:tc>
        <w:tc>
          <w:tcPr>
            <w:tcW w:w="138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6.388.548,06</w:t>
            </w:r>
          </w:p>
        </w:tc>
        <w:tc>
          <w:tcPr>
            <w:tcW w:w="14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48.134.515,54</w:t>
            </w:r>
          </w:p>
        </w:tc>
        <w:tc>
          <w:tcPr>
            <w:tcW w:w="138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3.818.912,97</w:t>
            </w:r>
          </w:p>
        </w:tc>
        <w:tc>
          <w:tcPr>
            <w:tcW w:w="14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28.773.600,00</w:t>
            </w:r>
          </w:p>
        </w:tc>
        <w:tc>
          <w:tcPr>
            <w:tcW w:w="138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3.771.253,42</w:t>
            </w:r>
          </w:p>
        </w:tc>
        <w:tc>
          <w:tcPr>
            <w:tcW w:w="14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28.414.508,91</w:t>
            </w:r>
          </w:p>
        </w:tc>
      </w:tr>
      <w:tr>
        <w:trPr>
          <w:trHeight w:val="209"/>
          <w:jc w:val="center"/>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3</w:t>
            </w:r>
          </w:p>
        </w:tc>
        <w:tc>
          <w:tcPr>
            <w:tcW w:w="1507"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Rashodi poslovanja</w:t>
            </w:r>
          </w:p>
        </w:tc>
        <w:tc>
          <w:tcPr>
            <w:tcW w:w="138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1.398.106,13</w:t>
            </w:r>
          </w:p>
        </w:tc>
        <w:tc>
          <w:tcPr>
            <w:tcW w:w="14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10.534.030,73</w:t>
            </w:r>
          </w:p>
        </w:tc>
        <w:tc>
          <w:tcPr>
            <w:tcW w:w="138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1.373.959,78</w:t>
            </w:r>
          </w:p>
        </w:tc>
        <w:tc>
          <w:tcPr>
            <w:tcW w:w="14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10.352.100,00</w:t>
            </w:r>
          </w:p>
        </w:tc>
        <w:tc>
          <w:tcPr>
            <w:tcW w:w="138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1.417.878,95</w:t>
            </w:r>
          </w:p>
        </w:tc>
        <w:tc>
          <w:tcPr>
            <w:tcW w:w="14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10.683.008,91</w:t>
            </w:r>
          </w:p>
        </w:tc>
      </w:tr>
      <w:tr>
        <w:trPr>
          <w:trHeight w:val="419"/>
          <w:jc w:val="center"/>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4</w:t>
            </w:r>
          </w:p>
        </w:tc>
        <w:tc>
          <w:tcPr>
            <w:tcW w:w="1507"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Rashodi za nabavu nefinancijske imovine</w:t>
            </w:r>
          </w:p>
        </w:tc>
        <w:tc>
          <w:tcPr>
            <w:tcW w:w="138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4.841.792,38</w:t>
            </w:r>
          </w:p>
        </w:tc>
        <w:tc>
          <w:tcPr>
            <w:tcW w:w="14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36.480.484,81</w:t>
            </w:r>
          </w:p>
        </w:tc>
        <w:tc>
          <w:tcPr>
            <w:tcW w:w="138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2.265.777,40</w:t>
            </w:r>
          </w:p>
        </w:tc>
        <w:tc>
          <w:tcPr>
            <w:tcW w:w="14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17.071.500,00</w:t>
            </w:r>
          </w:p>
        </w:tc>
        <w:tc>
          <w:tcPr>
            <w:tcW w:w="138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2.240.560,08</w:t>
            </w:r>
          </w:p>
        </w:tc>
        <w:tc>
          <w:tcPr>
            <w:tcW w:w="14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16.881.500,00</w:t>
            </w:r>
          </w:p>
        </w:tc>
      </w:tr>
      <w:tr>
        <w:trPr>
          <w:trHeight w:val="209"/>
          <w:jc w:val="center"/>
        </w:trPr>
        <w:tc>
          <w:tcPr>
            <w:tcW w:w="2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RAZLIKA − VIŠAK</w:t>
            </w:r>
          </w:p>
        </w:tc>
        <w:tc>
          <w:tcPr>
            <w:tcW w:w="138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148.649,55</w:t>
            </w:r>
          </w:p>
        </w:tc>
        <w:tc>
          <w:tcPr>
            <w:tcW w:w="14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1.120.000,00</w:t>
            </w:r>
          </w:p>
        </w:tc>
        <w:tc>
          <w:tcPr>
            <w:tcW w:w="138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179.175,79</w:t>
            </w:r>
          </w:p>
        </w:tc>
        <w:tc>
          <w:tcPr>
            <w:tcW w:w="14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1.350.000,00</w:t>
            </w:r>
          </w:p>
        </w:tc>
        <w:tc>
          <w:tcPr>
            <w:tcW w:w="138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112.814,39</w:t>
            </w:r>
          </w:p>
        </w:tc>
        <w:tc>
          <w:tcPr>
            <w:tcW w:w="14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850.000,00</w:t>
            </w:r>
          </w:p>
        </w:tc>
      </w:tr>
    </w:tbl>
    <w:p>
      <w:pPr>
        <w:jc w:val="center"/>
        <w:rPr>
          <w:rFonts w:ascii="Arial" w:hAnsi="Arial" w:cs="Arial"/>
          <w:sz w:val="24"/>
        </w:rPr>
      </w:pPr>
    </w:p>
    <w:tbl>
      <w:tblPr>
        <w:tblW w:w="11335" w:type="dxa"/>
        <w:jc w:val="center"/>
        <w:tblLayout w:type="fixed"/>
        <w:tblLook w:val="04A0" w:firstRow="1" w:lastRow="0" w:firstColumn="1" w:lastColumn="0" w:noHBand="0" w:noVBand="1"/>
      </w:tblPr>
      <w:tblGrid>
        <w:gridCol w:w="334"/>
        <w:gridCol w:w="2355"/>
        <w:gridCol w:w="1417"/>
        <w:gridCol w:w="1559"/>
        <w:gridCol w:w="1418"/>
        <w:gridCol w:w="1559"/>
        <w:gridCol w:w="1276"/>
        <w:gridCol w:w="1417"/>
      </w:tblGrid>
      <w:tr>
        <w:trPr>
          <w:trHeight w:val="313"/>
          <w:jc w:val="center"/>
        </w:trPr>
        <w:tc>
          <w:tcPr>
            <w:tcW w:w="1133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lastRenderedPageBreak/>
              <w:t>B. RAČUN ZADUŽIVANJA / FINANCIRANJA</w:t>
            </w:r>
          </w:p>
        </w:tc>
      </w:tr>
      <w:tr>
        <w:trPr>
          <w:trHeight w:val="322"/>
          <w:jc w:val="center"/>
        </w:trPr>
        <w:tc>
          <w:tcPr>
            <w:tcW w:w="33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8</w:t>
            </w:r>
          </w:p>
        </w:tc>
        <w:tc>
          <w:tcPr>
            <w:tcW w:w="235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Primici od financijske imovine i zaduživanja</w:t>
            </w:r>
          </w:p>
        </w:tc>
        <w:tc>
          <w:tcPr>
            <w:tcW w:w="141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19.908,42</w:t>
            </w:r>
          </w:p>
        </w:tc>
        <w:tc>
          <w:tcPr>
            <w:tcW w:w="155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150.000,00</w:t>
            </w:r>
          </w:p>
        </w:tc>
        <w:tc>
          <w:tcPr>
            <w:tcW w:w="141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55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41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0,00</w:t>
            </w:r>
          </w:p>
        </w:tc>
      </w:tr>
      <w:tr>
        <w:trPr>
          <w:trHeight w:val="322"/>
          <w:jc w:val="center"/>
        </w:trPr>
        <w:tc>
          <w:tcPr>
            <w:tcW w:w="33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5</w:t>
            </w:r>
          </w:p>
        </w:tc>
        <w:tc>
          <w:tcPr>
            <w:tcW w:w="235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Izdaci za financijsku imovinu i otplate zajmova</w:t>
            </w:r>
          </w:p>
        </w:tc>
        <w:tc>
          <w:tcPr>
            <w:tcW w:w="141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35.835,16</w:t>
            </w:r>
          </w:p>
        </w:tc>
        <w:tc>
          <w:tcPr>
            <w:tcW w:w="155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270.000,00</w:t>
            </w:r>
          </w:p>
        </w:tc>
        <w:tc>
          <w:tcPr>
            <w:tcW w:w="141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19.908,42</w:t>
            </w:r>
          </w:p>
        </w:tc>
        <w:tc>
          <w:tcPr>
            <w:tcW w:w="155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150.000,00</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19.908,42</w:t>
            </w:r>
          </w:p>
        </w:tc>
        <w:tc>
          <w:tcPr>
            <w:tcW w:w="141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150.000,00</w:t>
            </w:r>
          </w:p>
        </w:tc>
      </w:tr>
      <w:tr>
        <w:trPr>
          <w:trHeight w:val="398"/>
          <w:jc w:val="center"/>
        </w:trPr>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NETO ZADUŽIVANJE / FINANCIRANJE</w:t>
            </w:r>
          </w:p>
        </w:tc>
        <w:tc>
          <w:tcPr>
            <w:tcW w:w="141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-15.926,74</w:t>
            </w:r>
          </w:p>
        </w:tc>
        <w:tc>
          <w:tcPr>
            <w:tcW w:w="155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-120.000,00</w:t>
            </w:r>
          </w:p>
        </w:tc>
        <w:tc>
          <w:tcPr>
            <w:tcW w:w="141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-19.908,42</w:t>
            </w:r>
          </w:p>
        </w:tc>
        <w:tc>
          <w:tcPr>
            <w:tcW w:w="155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-150.000,00</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-19.908,42</w:t>
            </w:r>
          </w:p>
        </w:tc>
        <w:tc>
          <w:tcPr>
            <w:tcW w:w="141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-150.000,00</w:t>
            </w:r>
          </w:p>
        </w:tc>
      </w:tr>
      <w:tr>
        <w:trPr>
          <w:trHeight w:val="160"/>
          <w:jc w:val="center"/>
        </w:trPr>
        <w:tc>
          <w:tcPr>
            <w:tcW w:w="2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c>
          <w:tcPr>
            <w:tcW w:w="1418"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r>
      <w:tr>
        <w:trPr>
          <w:trHeight w:val="160"/>
          <w:jc w:val="center"/>
        </w:trPr>
        <w:tc>
          <w:tcPr>
            <w:tcW w:w="334"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9</w:t>
            </w:r>
          </w:p>
        </w:tc>
        <w:tc>
          <w:tcPr>
            <w:tcW w:w="2355"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Vlastiti izvori</w:t>
            </w:r>
          </w:p>
        </w:tc>
        <w:tc>
          <w:tcPr>
            <w:tcW w:w="141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-132.722,81</w:t>
            </w:r>
          </w:p>
        </w:tc>
        <w:tc>
          <w:tcPr>
            <w:tcW w:w="155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-1.000.000,00</w:t>
            </w:r>
          </w:p>
        </w:tc>
        <w:tc>
          <w:tcPr>
            <w:tcW w:w="141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-159.267,37</w:t>
            </w:r>
          </w:p>
        </w:tc>
        <w:tc>
          <w:tcPr>
            <w:tcW w:w="155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-1.200.000,00</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-92.905,97</w:t>
            </w:r>
          </w:p>
        </w:tc>
        <w:tc>
          <w:tcPr>
            <w:tcW w:w="141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-700.000,00</w:t>
            </w:r>
          </w:p>
        </w:tc>
      </w:tr>
      <w:tr>
        <w:trPr>
          <w:trHeight w:val="160"/>
          <w:jc w:val="center"/>
        </w:trPr>
        <w:tc>
          <w:tcPr>
            <w:tcW w:w="2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c>
          <w:tcPr>
            <w:tcW w:w="1418"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r>
      <w:tr>
        <w:trPr>
          <w:trHeight w:val="322"/>
          <w:jc w:val="center"/>
        </w:trPr>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VIŠAK / MANJAK + NETO ZADUŽIVANJA / FINANCIRANJA</w:t>
            </w:r>
          </w:p>
        </w:tc>
        <w:tc>
          <w:tcPr>
            <w:tcW w:w="141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55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41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55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41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0,00</w:t>
            </w:r>
          </w:p>
        </w:tc>
      </w:tr>
    </w:tbl>
    <w:p>
      <w:pPr>
        <w:rPr>
          <w:rFonts w:ascii="Arial" w:hAnsi="Arial" w:cs="Arial"/>
          <w:sz w:val="24"/>
        </w:rPr>
      </w:pPr>
    </w:p>
    <w:p>
      <w:pPr>
        <w:rPr>
          <w:rFonts w:ascii="Arial" w:hAnsi="Arial" w:cs="Arial"/>
          <w:sz w:val="24"/>
        </w:rPr>
      </w:pPr>
    </w:p>
    <w:p>
      <w:pPr>
        <w:rPr>
          <w:rFonts w:ascii="Arial" w:hAnsi="Arial" w:cs="Arial"/>
          <w:b/>
          <w:sz w:val="24"/>
        </w:rPr>
      </w:pPr>
      <w:r>
        <w:rPr>
          <w:rFonts w:ascii="Arial" w:hAnsi="Arial" w:cs="Arial"/>
          <w:b/>
          <w:sz w:val="24"/>
        </w:rPr>
        <w:t>1.OBRAZLOŽENJE OPĆEG DIJELA PRORAČUNA</w:t>
      </w:r>
    </w:p>
    <w:p>
      <w:pPr>
        <w:rPr>
          <w:rFonts w:ascii="Arial" w:hAnsi="Arial" w:cs="Arial"/>
          <w:b/>
          <w:i/>
          <w:sz w:val="24"/>
        </w:rPr>
      </w:pPr>
      <w:r>
        <w:rPr>
          <w:rFonts w:ascii="Arial" w:hAnsi="Arial" w:cs="Arial"/>
          <w:b/>
          <w:i/>
          <w:sz w:val="24"/>
        </w:rPr>
        <w:t>1.1. Račun prihoda i rashoda</w:t>
      </w:r>
    </w:p>
    <w:p>
      <w:pPr>
        <w:rPr>
          <w:rStyle w:val="markedcontent"/>
          <w:rFonts w:ascii="Arial" w:hAnsi="Arial" w:cs="Arial"/>
          <w:sz w:val="24"/>
          <w:szCs w:val="30"/>
        </w:rPr>
      </w:pPr>
      <w:r>
        <w:rPr>
          <w:rStyle w:val="markedcontent"/>
          <w:rFonts w:ascii="Arial" w:hAnsi="Arial" w:cs="Arial"/>
          <w:sz w:val="24"/>
          <w:szCs w:val="30"/>
        </w:rPr>
        <w:t>Ukupni prihodi i rashodi su iskazani po prirodnoj vrsti iz koje se ostvaruju, odnosno po</w:t>
      </w:r>
      <w:r>
        <w:rPr>
          <w:sz w:val="18"/>
        </w:rPr>
        <w:t xml:space="preserve"> </w:t>
      </w:r>
      <w:r>
        <w:rPr>
          <w:rStyle w:val="markedcontent"/>
          <w:rFonts w:ascii="Arial" w:hAnsi="Arial" w:cs="Arial"/>
          <w:sz w:val="24"/>
          <w:szCs w:val="30"/>
        </w:rPr>
        <w:t>ekonomskoj klasifikaciji te po izvorima financiranja koji predstavljaju skupine prihoda iz kojih</w:t>
      </w:r>
      <w:r>
        <w:rPr>
          <w:sz w:val="18"/>
        </w:rPr>
        <w:t xml:space="preserve"> </w:t>
      </w:r>
      <w:r>
        <w:rPr>
          <w:rStyle w:val="markedcontent"/>
          <w:rFonts w:ascii="Arial" w:hAnsi="Arial" w:cs="Arial"/>
          <w:sz w:val="24"/>
          <w:szCs w:val="30"/>
        </w:rPr>
        <w:t>se podmiruju rashodi određene vrste i utvrđene namjene. Prihodi i rashodi iskazani su na razini</w:t>
      </w:r>
      <w:r>
        <w:rPr>
          <w:sz w:val="18"/>
        </w:rPr>
        <w:t xml:space="preserve"> </w:t>
      </w:r>
      <w:r>
        <w:rPr>
          <w:rStyle w:val="markedcontent"/>
          <w:rFonts w:ascii="Arial" w:hAnsi="Arial" w:cs="Arial"/>
          <w:sz w:val="24"/>
          <w:szCs w:val="30"/>
        </w:rPr>
        <w:t>skupine računskog plana (2 razina).</w:t>
      </w:r>
    </w:p>
    <w:p>
      <w:pPr>
        <w:rPr>
          <w:rStyle w:val="markedcontent"/>
          <w:rFonts w:ascii="Arial" w:hAnsi="Arial" w:cs="Arial"/>
          <w:sz w:val="24"/>
          <w:szCs w:val="30"/>
        </w:rPr>
      </w:pPr>
      <w:r>
        <w:rPr>
          <w:rStyle w:val="markedcontent"/>
          <w:rFonts w:ascii="Arial" w:hAnsi="Arial" w:cs="Arial"/>
          <w:sz w:val="24"/>
          <w:szCs w:val="30"/>
        </w:rPr>
        <w:t>U proračunu Općine Pokupsko za 2023. godinu planirano je pokriće manjka iz prethodnih godina (-132.722,81 EUR). Pokriće dijela manjka planirano je i u 2024. godini (-159.267,37 EUR) i u 2025.godini (-92.905,97 EUR).</w:t>
      </w:r>
    </w:p>
    <w:p>
      <w:pPr>
        <w:rPr>
          <w:rStyle w:val="markedcontent"/>
          <w:rFonts w:ascii="Arial" w:hAnsi="Arial" w:cs="Arial"/>
          <w:sz w:val="24"/>
          <w:szCs w:val="30"/>
        </w:rPr>
      </w:pPr>
    </w:p>
    <w:p>
      <w:pPr>
        <w:pStyle w:val="ListParagraph"/>
        <w:numPr>
          <w:ilvl w:val="2"/>
          <w:numId w:val="1"/>
        </w:numPr>
        <w:rPr>
          <w:rFonts w:ascii="Arial" w:hAnsi="Arial" w:cs="Arial"/>
          <w:i/>
          <w:sz w:val="20"/>
        </w:rPr>
      </w:pPr>
      <w:r>
        <w:rPr>
          <w:rFonts w:ascii="Arial" w:hAnsi="Arial" w:cs="Arial"/>
          <w:i/>
          <w:sz w:val="24"/>
        </w:rPr>
        <w:t>Ukupni prihodi</w:t>
      </w:r>
    </w:p>
    <w:p>
      <w:pPr>
        <w:rPr>
          <w:rFonts w:ascii="Arial" w:hAnsi="Arial" w:cs="Arial"/>
          <w:sz w:val="24"/>
        </w:rPr>
      </w:pPr>
      <w:r>
        <w:rPr>
          <w:rFonts w:ascii="Arial" w:hAnsi="Arial" w:cs="Arial"/>
          <w:sz w:val="24"/>
        </w:rPr>
        <w:t>Ukupni prihodi Općine Pokupsko planirani su u iznosu od 6.388.548,06 EUR.</w:t>
      </w:r>
    </w:p>
    <w:p>
      <w:pPr>
        <w:rPr>
          <w:rFonts w:ascii="Arial" w:hAnsi="Arial" w:cs="Arial"/>
          <w:sz w:val="24"/>
        </w:rPr>
      </w:pPr>
      <w:r>
        <w:rPr>
          <w:rFonts w:ascii="Arial" w:hAnsi="Arial" w:cs="Arial"/>
          <w:sz w:val="24"/>
        </w:rPr>
        <w:t>61 Prihodi od poreza planirani su u iznosu od 1.518.813,70 EUR i oni su planirani unutar izvora 1.1. Opći prihodi i primici. Prihodi od poreza odnose se na prihode od poreza i prireza na dohodak, poreza na imovinu (porez na kuće za odmor, porez na promet nekretnina) i porez na robu i usluge.</w:t>
      </w:r>
    </w:p>
    <w:p>
      <w:pPr>
        <w:autoSpaceDE w:val="0"/>
        <w:autoSpaceDN w:val="0"/>
        <w:adjustRightInd w:val="0"/>
        <w:spacing w:after="0" w:line="240" w:lineRule="auto"/>
        <w:rPr>
          <w:rFonts w:ascii="Arial" w:hAnsi="Arial" w:cs="Arial"/>
          <w:bCs/>
          <w:sz w:val="24"/>
          <w:szCs w:val="24"/>
        </w:rPr>
      </w:pPr>
      <w:r>
        <w:rPr>
          <w:rFonts w:ascii="Arial" w:hAnsi="Arial" w:cs="Arial"/>
          <w:sz w:val="24"/>
        </w:rPr>
        <w:t xml:space="preserve">63 Pomoći iz inozemstva i od subjekata unutar općeg proračuna planirani su u iznosu od 4.750.190,94 EUR, od toga su planirana sredstva fiskalnog izravnanja 151.440,49 EUR izvora 1.1. Opći prihodi i primici. Izvor 2.3.Pomoći proračunskom korisniku planirane su u iznosu od 2.588,09 EUR, a odnose se na pomoći za nabavu knjižne građe. Izvor 5.1. Pomoći temeljem prijenosa sredstava EU iznose 3.484.458,84 EUR, a odnose se na pomoći iz Europskog socijalnog fonda za projekt Zaželi u iznosu od 64.981,09 EUR, 1.725.396,51 EUR za sanaciju štete na kolnicima nerazvrstanih cesta koji se financiraju iz Fonda solidarnosti EU, 847.867,81 EUR za rekonstrukciju DVD Pokupsko koji se financira preko mjere 7.4. iz Europskog poljoprivrednog fonda za ruralni razvoj i 844.264,00 EUR za projekt Šumske ceste </w:t>
      </w:r>
      <w:proofErr w:type="spellStart"/>
      <w:r>
        <w:rPr>
          <w:rFonts w:ascii="Arial" w:hAnsi="Arial" w:cs="Arial"/>
          <w:sz w:val="24"/>
        </w:rPr>
        <w:t>Markuzi</w:t>
      </w:r>
      <w:proofErr w:type="spellEnd"/>
      <w:r>
        <w:rPr>
          <w:rFonts w:ascii="Arial" w:hAnsi="Arial" w:cs="Arial"/>
          <w:sz w:val="24"/>
        </w:rPr>
        <w:t xml:space="preserve">-Šaše, </w:t>
      </w:r>
      <w:proofErr w:type="spellStart"/>
      <w:r>
        <w:rPr>
          <w:rFonts w:ascii="Arial" w:hAnsi="Arial" w:cs="Arial"/>
          <w:sz w:val="24"/>
        </w:rPr>
        <w:t>Turkovići</w:t>
      </w:r>
      <w:proofErr w:type="spellEnd"/>
      <w:r>
        <w:rPr>
          <w:rFonts w:ascii="Arial" w:hAnsi="Arial" w:cs="Arial"/>
          <w:sz w:val="24"/>
        </w:rPr>
        <w:t xml:space="preserve"> – Magdić, </w:t>
      </w:r>
      <w:proofErr w:type="spellStart"/>
      <w:r>
        <w:rPr>
          <w:rFonts w:ascii="Arial" w:hAnsi="Arial" w:cs="Arial"/>
          <w:sz w:val="24"/>
        </w:rPr>
        <w:t>Šestak</w:t>
      </w:r>
      <w:proofErr w:type="spellEnd"/>
      <w:r>
        <w:rPr>
          <w:rFonts w:ascii="Arial" w:hAnsi="Arial" w:cs="Arial"/>
          <w:sz w:val="24"/>
        </w:rPr>
        <w:t xml:space="preserve"> brdo –</w:t>
      </w:r>
      <w:proofErr w:type="spellStart"/>
      <w:r>
        <w:rPr>
          <w:rFonts w:ascii="Arial" w:hAnsi="Arial" w:cs="Arial"/>
          <w:sz w:val="24"/>
        </w:rPr>
        <w:t>Žugaji</w:t>
      </w:r>
      <w:proofErr w:type="spellEnd"/>
      <w:r>
        <w:rPr>
          <w:rFonts w:ascii="Arial" w:hAnsi="Arial" w:cs="Arial"/>
          <w:sz w:val="24"/>
        </w:rPr>
        <w:t xml:space="preserve"> koji su prijavljeni na </w:t>
      </w:r>
      <w:proofErr w:type="spellStart"/>
      <w:r>
        <w:rPr>
          <w:rFonts w:ascii="Arial" w:hAnsi="Arial" w:cs="Arial"/>
          <w:sz w:val="24"/>
          <w:szCs w:val="24"/>
        </w:rPr>
        <w:t>Podmjeru</w:t>
      </w:r>
      <w:proofErr w:type="spellEnd"/>
      <w:r>
        <w:rPr>
          <w:rFonts w:ascii="Arial" w:hAnsi="Arial" w:cs="Arial"/>
          <w:sz w:val="24"/>
          <w:szCs w:val="24"/>
        </w:rPr>
        <w:t xml:space="preserve"> </w:t>
      </w:r>
      <w:r>
        <w:rPr>
          <w:rFonts w:ascii="Arial" w:hAnsi="Arial" w:cs="Arial"/>
          <w:bCs/>
          <w:sz w:val="24"/>
          <w:szCs w:val="24"/>
        </w:rPr>
        <w:t>4.3. "Potpora za ulaganja u infrastrukturu vezano uz razvoj, modernizaciju i prilagodbu poljoprivrede i šumarstva“, Operacija 4.3.3.Ulaganje u šumsku infrastrukturu.</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Unutar izvora 5.2. Pomoći planirani su prihodi u iznosu od 1.099.758,49 EUR, a odnose se na pomoći za projekt Zaželi 11.811,27 EUR koji se financira u iznosu od </w:t>
      </w:r>
      <w:r>
        <w:rPr>
          <w:rFonts w:ascii="Arial" w:hAnsi="Arial" w:cs="Arial"/>
          <w:bCs/>
          <w:sz w:val="24"/>
          <w:szCs w:val="24"/>
        </w:rPr>
        <w:lastRenderedPageBreak/>
        <w:t xml:space="preserve">15% iz proračuna RH, za Sanaciju javnih zgrada oštećenih u potresu planiran je iznos od 529.564,01 EUR iz proračuna Zagrebačke županije, Pomoć u kući 7.963,37 EUR iz proračuna Zagrebačke županije, za program Predškolskog odgoja planiran je iznos pomoći 11.945,05 EUR iz proračuna Zagrebačke županije, iz pomoći od subjekata unutar općeg proračuna planirano je još 525.202,51 EUR za energetsku obnovu Lovačke kuće Pokupsko, Rekonstrukciju DVD-a Pokupsko, Vodoopskrbne objekte, Ulaganje u obnovljive izvore energije, Groblje </w:t>
      </w:r>
      <w:proofErr w:type="spellStart"/>
      <w:r>
        <w:rPr>
          <w:rFonts w:ascii="Arial" w:hAnsi="Arial" w:cs="Arial"/>
          <w:bCs/>
          <w:sz w:val="24"/>
          <w:szCs w:val="24"/>
        </w:rPr>
        <w:t>Hotnja</w:t>
      </w:r>
      <w:proofErr w:type="spellEnd"/>
      <w:r>
        <w:rPr>
          <w:rFonts w:ascii="Arial" w:hAnsi="Arial" w:cs="Arial"/>
          <w:bCs/>
          <w:sz w:val="24"/>
          <w:szCs w:val="24"/>
        </w:rPr>
        <w:t>, Šumske ceste.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izvora 5.3. Pomoći HZZ javni radovi, planirano je 11.945,05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64 Prihodi od imovine planirani su u iznosu od 48.443,82 EUR (prihodi od nefinancijske imovine – zakup i iznajmljivanje, naknada za korištenje nefinancijske imovine), a odnose se na izvor 3.1. Vlastiti prihodi 46.452,98 EUR i 4.3. Naknada za zadržavanje nezakonito izgrađene nekretnine u prostoru 1.990,84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65 Prihodi od upravnih i administrativnih pristojbi, pristojbi po posebnim propisima planirani su u iznosu od 69.108,76 EUR, od toga iz izvora 1.1. Opći prihodi i primici 663,61 EUR Upravne i administrativne pristojbe, izvor 2.1. Vlastiti prihod proračunskog korisnika 92,91 EUR (članarine), izvor 4.2. Komunalni doprinos 4.247,13 EUR, izvor 4.4. Šumski doprinos 10.617,82 EUR, izvor 4.5. Vodni doprinos 398,17 EUR, izvor 4.7. Komunalna naknada 53.089,12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66 Prihodi od prodaje proizvoda i robe te pruženih usluga i prihodi od donacija planirani su u iznosu od 1.990,84 EUR za uslugu ubiranja naknade za uređenje voda.</w:t>
      </w:r>
    </w:p>
    <w:p>
      <w:pPr>
        <w:autoSpaceDE w:val="0"/>
        <w:autoSpaceDN w:val="0"/>
        <w:adjustRightInd w:val="0"/>
        <w:spacing w:after="0" w:line="240" w:lineRule="auto"/>
        <w:rPr>
          <w:rFonts w:ascii="Arial" w:hAnsi="Arial" w:cs="Arial"/>
          <w:bCs/>
          <w:sz w:val="24"/>
          <w:szCs w:val="24"/>
        </w:rPr>
      </w:pPr>
    </w:p>
    <w:p>
      <w:pPr>
        <w:pStyle w:val="ListParagraph"/>
        <w:numPr>
          <w:ilvl w:val="2"/>
          <w:numId w:val="1"/>
        </w:numPr>
        <w:autoSpaceDE w:val="0"/>
        <w:autoSpaceDN w:val="0"/>
        <w:adjustRightInd w:val="0"/>
        <w:spacing w:after="0" w:line="240" w:lineRule="auto"/>
        <w:rPr>
          <w:rFonts w:ascii="Arial" w:hAnsi="Arial" w:cs="Arial"/>
          <w:bCs/>
          <w:i/>
          <w:sz w:val="24"/>
          <w:szCs w:val="24"/>
        </w:rPr>
      </w:pPr>
      <w:r>
        <w:rPr>
          <w:rFonts w:ascii="Arial" w:hAnsi="Arial" w:cs="Arial"/>
          <w:bCs/>
          <w:i/>
          <w:sz w:val="24"/>
          <w:szCs w:val="24"/>
        </w:rPr>
        <w:t>Ukupni rashodi</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Ukupni rashodi Općine Pokupsko planirani su u iznosu od 6.239.898,51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31 Rashodi za zaposlene planiraju se u iznosu od 222.546,94 EUR što je 3,55% ukupno planiranih rashoda. Od toga 143.738,80 EUR planira se iz izvora 1.1. Opći prihodi i primici, 59.089,91 EUR (85%) iz izvora 5.1. Pomoći temeljem prijenosa sredstava EU za projekt Zaželi gdje se planira zaposliti 12 žena i voditelj projekta i 15% iz izvora 5.2. Pomoći u iznosu od 10.427,63 EUR. Za zapošljavanje na javnim radovima planiran je iznos od 9.290,60 EUR iz Pomoći.</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32 Materijalni rashodi planirani su u iznosu od 669.291,73 EUR. </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Na naknade troškova zaposlenima odnosi se 15.794,03 EUR, rashodi za materijal i energiju iznose 236.501,99 EUR, rashodi za usluge 371.213,17 EUR i ostali nespomenuti rashodi poslovanja 45.782,54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34 Financijski rashodi planirani su u iznosu od 9.821,49 EUR, a odnose se na rashode za usluge banaka i platnog prometa, ostale nespomenute financijske rashode.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35 Subvencije su planirane u iznosu od 99.542,10 EUR, a odnose se na subvenciju dječjeg vrtića i subvenciju poljoprivrednicima (umjetno </w:t>
      </w:r>
      <w:proofErr w:type="spellStart"/>
      <w:r>
        <w:rPr>
          <w:rFonts w:ascii="Arial" w:hAnsi="Arial" w:cs="Arial"/>
          <w:bCs/>
          <w:sz w:val="24"/>
          <w:szCs w:val="24"/>
        </w:rPr>
        <w:t>osjemenjivanje</w:t>
      </w:r>
      <w:proofErr w:type="spellEnd"/>
      <w:r>
        <w:rPr>
          <w:rFonts w:ascii="Arial" w:hAnsi="Arial" w:cs="Arial"/>
          <w:bCs/>
          <w:sz w:val="24"/>
          <w:szCs w:val="24"/>
        </w:rPr>
        <w:t>).</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lastRenderedPageBreak/>
        <w:t xml:space="preserve">37 Naknade građanima i kućanstvima planirane su u  iznosu 75.426,36 EUR, a odnose se na sufinanciranje prijevoza, potpore za novorođenčad, stipendije, jednokratne novčane pomoći, pomoć u kući, naknade za </w:t>
      </w:r>
      <w:proofErr w:type="spellStart"/>
      <w:r>
        <w:rPr>
          <w:rFonts w:ascii="Arial" w:hAnsi="Arial" w:cs="Arial"/>
          <w:bCs/>
          <w:sz w:val="24"/>
          <w:szCs w:val="24"/>
        </w:rPr>
        <w:t>tr.stanovanja</w:t>
      </w:r>
      <w:proofErr w:type="spellEnd"/>
      <w:r>
        <w:rPr>
          <w:rFonts w:ascii="Arial" w:hAnsi="Arial" w:cs="Arial"/>
          <w:bCs/>
          <w:sz w:val="24"/>
          <w:szCs w:val="24"/>
        </w:rPr>
        <w:t>.</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38 Ostali rashodi planirani su u iznosu 321.477,51 EUR, a odnose se na donacije DVD-u, Crvenom križu, HGSS, udrugama s područja općine, kapitalne pomoći trgovačkim društvima.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41 Rashodi za nabavu </w:t>
      </w:r>
      <w:proofErr w:type="spellStart"/>
      <w:r>
        <w:rPr>
          <w:rFonts w:ascii="Arial" w:hAnsi="Arial" w:cs="Arial"/>
          <w:bCs/>
          <w:sz w:val="24"/>
          <w:szCs w:val="24"/>
        </w:rPr>
        <w:t>neproizvedene</w:t>
      </w:r>
      <w:proofErr w:type="spellEnd"/>
      <w:r>
        <w:rPr>
          <w:rFonts w:ascii="Arial" w:hAnsi="Arial" w:cs="Arial"/>
          <w:bCs/>
          <w:sz w:val="24"/>
          <w:szCs w:val="24"/>
        </w:rPr>
        <w:t xml:space="preserve"> dugotrajne imovine planirani su u iznosu od 7.963,37 EUR, a odnose se na otkup zemljišta.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42 Rashodi za nabavu proizvedene dugotrajne imovine iznose 2.468.708,57 EUR, a odnosi se na rashode za građevinske objekte, postrojenja i opremu, knjige i nematerijalnu proizvedenu imovinu.</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pStyle w:val="ListParagraph"/>
        <w:numPr>
          <w:ilvl w:val="1"/>
          <w:numId w:val="1"/>
        </w:numPr>
        <w:autoSpaceDE w:val="0"/>
        <w:autoSpaceDN w:val="0"/>
        <w:adjustRightInd w:val="0"/>
        <w:spacing w:after="0" w:line="240" w:lineRule="auto"/>
        <w:rPr>
          <w:rFonts w:ascii="Arial" w:hAnsi="Arial" w:cs="Arial"/>
          <w:b/>
          <w:bCs/>
          <w:i/>
          <w:sz w:val="24"/>
          <w:szCs w:val="24"/>
        </w:rPr>
      </w:pPr>
      <w:r>
        <w:rPr>
          <w:rFonts w:ascii="Arial" w:hAnsi="Arial" w:cs="Arial"/>
          <w:b/>
          <w:bCs/>
          <w:i/>
          <w:sz w:val="24"/>
          <w:szCs w:val="24"/>
        </w:rPr>
        <w:t>Obrazloženje rashoda po funkcijskoj klasifikaciji</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011 Izvršna i zakonodavna tijela planirani su rashodi u iznosu od 278.976,51 EUR, odnose se na plaće zaposlenih u JUO, rashode za materijal i energiju, rashode za usluge, financijske rashode, naknade troškova članovima Općinskih tijela.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016 Opće javne usluge koje nisu drugdje svrstane planirane su u iznosu od 3.981,69 EUR a odnose se na poticaje razvoju poljoprivredi (</w:t>
      </w:r>
      <w:proofErr w:type="spellStart"/>
      <w:r>
        <w:rPr>
          <w:rFonts w:ascii="Arial" w:hAnsi="Arial" w:cs="Arial"/>
          <w:bCs/>
          <w:sz w:val="24"/>
          <w:szCs w:val="24"/>
        </w:rPr>
        <w:t>tr.provođenja</w:t>
      </w:r>
      <w:proofErr w:type="spellEnd"/>
      <w:r>
        <w:rPr>
          <w:rFonts w:ascii="Arial" w:hAnsi="Arial" w:cs="Arial"/>
          <w:bCs/>
          <w:sz w:val="24"/>
          <w:szCs w:val="24"/>
        </w:rPr>
        <w:t xml:space="preserve"> plana zaštite od divljači).</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036 Rashodi za javni red i sigurnost koji nisu drugdje svrstani planirani su u iznosu od 50.059,35 EUR, a odnose se na donacije DVD-u, Crvenom križu, HGSS-u, deratizaciju, zbrinjavanje životinja.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041 Opći ekonomski, trgovački i poslovi vezani uz rad planirani su u iznosu od 11.945,06 EUR, a odnose se na troškove vezane uz javne radove.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042 Poljoprivreda, šumarstvo, ribarstvo i lov planirani su rashodi u iznosu od 6.636,14 EUR, a odnose se na rashode za subvencije poljoprivrednicima.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045 Promet planirani su rashodi u iznosu od 3.032.836,33 EUR, a odnose se na rashode za sanaciju štete na nerazvrstanim cestama oštećenim u potresu, redovno održavanje nerazvrstanih cesta, održavanje poljskih i šumskih puteva, izgradnja vodoopskrbnih objekata i šumske ceste.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048 Istraživanje i razvoj: Ekonomski poslovi planirani su rashodi u iznosu od 19.908,42 EUR, a odnose se na ulaganje u obnovljive izvore energije.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049 Ekonomski poslovi koji nisu drugdje svrstani planirani su u iznosu od 9.921,03 EUR, a odnose se na financiranje političkih stranaka, udruga društvenih skupina i udruga u gospodarstvu.</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lastRenderedPageBreak/>
        <w:t xml:space="preserve">051 Gospodarenje otpadom planirani su rashodi u iznosu 19.908,42 EUR, a odnose se na usluge upravljanja mobilnim </w:t>
      </w:r>
      <w:proofErr w:type="spellStart"/>
      <w:r>
        <w:rPr>
          <w:rFonts w:ascii="Arial" w:hAnsi="Arial" w:cs="Arial"/>
          <w:bCs/>
          <w:sz w:val="24"/>
          <w:szCs w:val="24"/>
        </w:rPr>
        <w:t>reciklažnim</w:t>
      </w:r>
      <w:proofErr w:type="spellEnd"/>
      <w:r>
        <w:rPr>
          <w:rFonts w:ascii="Arial" w:hAnsi="Arial" w:cs="Arial"/>
          <w:bCs/>
          <w:sz w:val="24"/>
          <w:szCs w:val="24"/>
        </w:rPr>
        <w:t xml:space="preserve"> dvorištem i čišćenje divljih deponija.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061 Razvoj stanovanja planirani su rashodi u iznosu 18.581,21 EUR, a odnose se na održavanje javnih objekata.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062 Razvoj zajednice planirani su rashodi u iznosu od 1.441.001,97 EUR, a odnose se na rashode za redovno funkcioniranje mjesnih odbora, savjet mladih, ulaganja na postojećim javnim objektima i izgradnja novih objekata, ulaganje u projekte za razvoj turizma.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064 Ulična rasvjeta planirani su rashodi u iznosu 162.297,43 EUR, a odnose se na trošak električne energije, materijal i usluge tekućeg održavanja.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066 Rashodi vezani uz stanovanje i komunalne pogodnosti koji nisu drugdje svrstani planirani su u iznosu 666.480,85 EUR, a odnose se na sanaciju javnih zgrada koje su oštećene u potresu, održavanje javnih površina, uređenje plaža, ulaganja u groblja (pogrebne centre), </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081 Službe rekreacije i sporta planirani su rashodi u iznosu od 3.318,07 EUR, a odnosi se na ulaganje u opremu na rekreacijskim prostorima.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082 Služba kulture planirani rashodi 115.468,83 EUR, a odnose se na nabavu knjižne građe kod proračunskog korisnika, održavanje javnih objekata i domova kulture.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084 Religijske i druge službe zajednice, planirani rashod u iznosu od 1.327,23, a odnosi se na donacije vjerskim ustanovama.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086 Rashodi za </w:t>
      </w:r>
      <w:proofErr w:type="spellStart"/>
      <w:r>
        <w:rPr>
          <w:rFonts w:ascii="Arial" w:hAnsi="Arial" w:cs="Arial"/>
          <w:bCs/>
          <w:sz w:val="24"/>
          <w:szCs w:val="24"/>
        </w:rPr>
        <w:t>rekreaciju,kulturu</w:t>
      </w:r>
      <w:proofErr w:type="spellEnd"/>
      <w:r>
        <w:rPr>
          <w:rFonts w:ascii="Arial" w:hAnsi="Arial" w:cs="Arial"/>
          <w:bCs/>
          <w:sz w:val="24"/>
          <w:szCs w:val="24"/>
        </w:rPr>
        <w:t xml:space="preserve"> i religiju koji nisu drugdje svrstani planirani su u iznosu od 70.542,17 EUR, a odnose se na rashode za proračunskog korisnika, donacije sportskim udrugama, izgradnju sportskih objekata, izgradnju spomenika.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091 Predškolsko i osnovno obrazovanje, planirani su rashodi u iznosu od 106.841,86 EUR, a odnose se na trošak subvencije dječjeg vrtića.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096 Dodatne usluge u obrazovanju, planirani su rashodi u iznosu od 34.906,10 EUR, a odnose se na subvenciju prijevoza za srednjoškolce i studente i stipendije.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104 Obitelj i djeca, planirani rashodi iznose 5.308,91 EUR, a odnose se na potpore za novorođenčad.</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106 Stanovanje, planirani rashodi iznose 663,61 EUR, a odnose se na podmirenje troškova stanovanja.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107 Socijalna pomoć stanovništvu koje nije obuhvaćeno redovnim socijalnim programom, planirani rashodi iznose 97.986,59 EUR, a odnose se na program Zaželi, Pomoć u kući.</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lastRenderedPageBreak/>
        <w:t xml:space="preserve">109 Aktivnosti socijalne zaštite koje nisu drugdje svrstane, planirane su u iznosu od 81.000,73 EUR, a odnose se na učešće za gradnju vodovoda Pokupski </w:t>
      </w:r>
      <w:proofErr w:type="spellStart"/>
      <w:r>
        <w:rPr>
          <w:rFonts w:ascii="Arial" w:hAnsi="Arial" w:cs="Arial"/>
          <w:bCs/>
          <w:sz w:val="24"/>
          <w:szCs w:val="24"/>
        </w:rPr>
        <w:t>Gladovec-Strezojevo</w:t>
      </w:r>
      <w:proofErr w:type="spellEnd"/>
      <w:r>
        <w:rPr>
          <w:rFonts w:ascii="Arial" w:hAnsi="Arial" w:cs="Arial"/>
          <w:bCs/>
          <w:sz w:val="24"/>
          <w:szCs w:val="24"/>
        </w:rPr>
        <w:t>, trošak grobnog mjesta za pokojnike bez obitelji.</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Style w:val="markedcontent"/>
          <w:rFonts w:ascii="Arial" w:hAnsi="Arial" w:cs="Arial"/>
          <w:sz w:val="24"/>
          <w:szCs w:val="30"/>
        </w:rPr>
      </w:pPr>
      <w:r>
        <w:br/>
      </w:r>
      <w:r>
        <w:rPr>
          <w:rStyle w:val="markedcontent"/>
          <w:rFonts w:ascii="Arial" w:hAnsi="Arial" w:cs="Arial"/>
          <w:b/>
          <w:i/>
          <w:sz w:val="24"/>
          <w:szCs w:val="30"/>
        </w:rPr>
        <w:t>1.3. Račun financiranja</w:t>
      </w:r>
      <w:r>
        <w:rPr>
          <w:sz w:val="18"/>
        </w:rPr>
        <w:br/>
      </w:r>
      <w:r>
        <w:rPr>
          <w:rStyle w:val="markedcontent"/>
          <w:rFonts w:ascii="Arial" w:hAnsi="Arial" w:cs="Arial"/>
          <w:sz w:val="24"/>
          <w:szCs w:val="30"/>
        </w:rPr>
        <w:t>Unutar računa financiranja iskazani su ukupni primici od financijske imovine i zaduživanja i</w:t>
      </w:r>
      <w:r>
        <w:rPr>
          <w:sz w:val="18"/>
        </w:rPr>
        <w:t xml:space="preserve"> </w:t>
      </w:r>
      <w:r>
        <w:rPr>
          <w:rStyle w:val="markedcontent"/>
          <w:rFonts w:ascii="Arial" w:hAnsi="Arial" w:cs="Arial"/>
          <w:sz w:val="24"/>
          <w:szCs w:val="30"/>
        </w:rPr>
        <w:t>izdaci za financijsku imovinu i otplate zaduživanja prema izvorima financiranja i ekonomskoj</w:t>
      </w:r>
      <w:r>
        <w:rPr>
          <w:sz w:val="18"/>
        </w:rPr>
        <w:t xml:space="preserve"> </w:t>
      </w:r>
      <w:r>
        <w:rPr>
          <w:rStyle w:val="markedcontent"/>
          <w:rFonts w:ascii="Arial" w:hAnsi="Arial" w:cs="Arial"/>
          <w:sz w:val="24"/>
          <w:szCs w:val="30"/>
        </w:rPr>
        <w:t>klasifikaciji.</w:t>
      </w:r>
    </w:p>
    <w:p>
      <w:pPr>
        <w:autoSpaceDE w:val="0"/>
        <w:autoSpaceDN w:val="0"/>
        <w:adjustRightInd w:val="0"/>
        <w:spacing w:after="0" w:line="240" w:lineRule="auto"/>
        <w:rPr>
          <w:rStyle w:val="markedcontent"/>
          <w:rFonts w:ascii="Arial" w:hAnsi="Arial" w:cs="Arial"/>
          <w:sz w:val="24"/>
          <w:szCs w:val="30"/>
        </w:rPr>
      </w:pPr>
    </w:p>
    <w:p>
      <w:pPr>
        <w:autoSpaceDE w:val="0"/>
        <w:autoSpaceDN w:val="0"/>
        <w:adjustRightInd w:val="0"/>
        <w:spacing w:after="0" w:line="240" w:lineRule="auto"/>
        <w:rPr>
          <w:rStyle w:val="markedcontent"/>
          <w:rFonts w:ascii="Arial" w:hAnsi="Arial" w:cs="Arial"/>
          <w:sz w:val="24"/>
          <w:szCs w:val="30"/>
        </w:rPr>
      </w:pPr>
      <w:r>
        <w:rPr>
          <w:rStyle w:val="markedcontent"/>
          <w:rFonts w:ascii="Arial" w:hAnsi="Arial" w:cs="Arial"/>
          <w:sz w:val="24"/>
          <w:szCs w:val="30"/>
        </w:rPr>
        <w:t>84 Primici od zaduživanja planirani su u iznosu od 19.908,42 EUR, a odnose se na obročnu otplatu povrata poreza i prireza na dohodak za 2022.godinu.</w:t>
      </w:r>
    </w:p>
    <w:p>
      <w:pPr>
        <w:autoSpaceDE w:val="0"/>
        <w:autoSpaceDN w:val="0"/>
        <w:adjustRightInd w:val="0"/>
        <w:spacing w:after="0" w:line="240" w:lineRule="auto"/>
        <w:rPr>
          <w:rStyle w:val="markedcontent"/>
          <w:rFonts w:ascii="Arial" w:hAnsi="Arial" w:cs="Arial"/>
          <w:sz w:val="24"/>
          <w:szCs w:val="30"/>
        </w:rPr>
      </w:pPr>
    </w:p>
    <w:p>
      <w:pPr>
        <w:autoSpaceDE w:val="0"/>
        <w:autoSpaceDN w:val="0"/>
        <w:adjustRightInd w:val="0"/>
        <w:spacing w:after="0" w:line="240" w:lineRule="auto"/>
        <w:rPr>
          <w:rStyle w:val="markedcontent"/>
          <w:rFonts w:ascii="Arial" w:hAnsi="Arial" w:cs="Arial"/>
          <w:sz w:val="24"/>
          <w:szCs w:val="30"/>
        </w:rPr>
      </w:pPr>
      <w:r>
        <w:rPr>
          <w:rStyle w:val="markedcontent"/>
          <w:rFonts w:ascii="Arial" w:hAnsi="Arial" w:cs="Arial"/>
          <w:sz w:val="24"/>
          <w:szCs w:val="30"/>
        </w:rPr>
        <w:t>54 Izdaci za otplatu glavnice primljenih kredita i zajmova planirani su u iznosu od 35.835,16 EUR, a odnose se na obročnu otplatu povrata poreza i prireza na dohodak za 2021. EUR, te otplatu beskamatnog zajma primljenog uslijed pada prihoda.</w:t>
      </w:r>
    </w:p>
    <w:p>
      <w:pPr>
        <w:autoSpaceDE w:val="0"/>
        <w:autoSpaceDN w:val="0"/>
        <w:adjustRightInd w:val="0"/>
        <w:spacing w:after="0" w:line="240" w:lineRule="auto"/>
        <w:rPr>
          <w:rStyle w:val="markedcontent"/>
          <w:rFonts w:ascii="Arial" w:hAnsi="Arial" w:cs="Arial"/>
          <w:sz w:val="24"/>
          <w:szCs w:val="30"/>
        </w:rPr>
      </w:pPr>
    </w:p>
    <w:p>
      <w:pPr>
        <w:autoSpaceDE w:val="0"/>
        <w:autoSpaceDN w:val="0"/>
        <w:adjustRightInd w:val="0"/>
        <w:spacing w:after="0" w:line="240" w:lineRule="auto"/>
        <w:rPr>
          <w:rStyle w:val="markedcontent"/>
          <w:rFonts w:ascii="Arial" w:hAnsi="Arial" w:cs="Arial"/>
          <w:sz w:val="24"/>
          <w:szCs w:val="30"/>
        </w:rPr>
      </w:pPr>
    </w:p>
    <w:p>
      <w:pPr>
        <w:autoSpaceDE w:val="0"/>
        <w:autoSpaceDN w:val="0"/>
        <w:adjustRightInd w:val="0"/>
        <w:spacing w:after="0" w:line="240" w:lineRule="auto"/>
        <w:rPr>
          <w:rStyle w:val="markedcontent"/>
          <w:rFonts w:ascii="Arial" w:hAnsi="Arial" w:cs="Arial"/>
          <w:sz w:val="24"/>
          <w:szCs w:val="30"/>
        </w:rPr>
      </w:pPr>
    </w:p>
    <w:p>
      <w:pPr>
        <w:autoSpaceDE w:val="0"/>
        <w:autoSpaceDN w:val="0"/>
        <w:adjustRightInd w:val="0"/>
        <w:spacing w:after="0" w:line="240" w:lineRule="auto"/>
        <w:rPr>
          <w:rStyle w:val="markedcontent"/>
          <w:rFonts w:ascii="Arial" w:hAnsi="Arial" w:cs="Arial"/>
          <w:sz w:val="24"/>
          <w:szCs w:val="30"/>
        </w:rPr>
      </w:pPr>
    </w:p>
    <w:p>
      <w:pPr>
        <w:pStyle w:val="ListParagraph"/>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OBRAZLOŽENJE POSEBNOG DIJELA PRORAČUNA</w:t>
      </w:r>
    </w:p>
    <w:p>
      <w:pPr>
        <w:autoSpaceDE w:val="0"/>
        <w:autoSpaceDN w:val="0"/>
        <w:adjustRightInd w:val="0"/>
        <w:spacing w:after="0" w:line="240" w:lineRule="auto"/>
        <w:rPr>
          <w:rFonts w:ascii="Arial" w:hAnsi="Arial" w:cs="Arial"/>
          <w:b/>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RAZDJEL 001 JEDINSTVENI UPRAVNI ODJEL</w:t>
      </w:r>
    </w:p>
    <w:p>
      <w:pPr>
        <w:autoSpaceDE w:val="0"/>
        <w:autoSpaceDN w:val="0"/>
        <w:adjustRightInd w:val="0"/>
        <w:spacing w:after="0" w:line="240" w:lineRule="auto"/>
        <w:rPr>
          <w:rFonts w:ascii="Arial" w:hAnsi="Arial" w:cs="Arial"/>
          <w:b/>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Obrazloženje programa: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0111 JAVNA UPRAVA I ADMINISTRACIJA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caps/>
          <w:sz w:val="24"/>
          <w:szCs w:val="24"/>
        </w:rPr>
      </w:pPr>
      <w:r>
        <w:rPr>
          <w:rFonts w:ascii="Arial" w:hAnsi="Arial" w:cs="Arial"/>
          <w:bCs/>
          <w:sz w:val="24"/>
          <w:szCs w:val="24"/>
        </w:rPr>
        <w:t xml:space="preserve">0111 </w:t>
      </w:r>
      <w:r>
        <w:rPr>
          <w:rFonts w:ascii="Arial" w:hAnsi="Arial" w:cs="Arial"/>
          <w:bCs/>
          <w:caps/>
          <w:sz w:val="24"/>
          <w:szCs w:val="24"/>
        </w:rPr>
        <w:t>Javna uprava i administracija: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programa planirana su proračunska sredstva koja su potrebna za neometano djelovanje Općine Pokupsko kao nositelja lokalne samouprave sukladno Zakonu o lokalnoj i područnoj (regionalnoj) samoupravi, a odnose se na rashode za zaposlene, rashode za materijal i energiju, rashodi za usluge (telekomunikacijske, poštanske, intelektualne, računalne), ostale nespomenute rashode poslovanja (</w:t>
      </w:r>
      <w:proofErr w:type="spellStart"/>
      <w:r>
        <w:rPr>
          <w:rFonts w:ascii="Arial" w:hAnsi="Arial" w:cs="Arial"/>
          <w:bCs/>
          <w:sz w:val="24"/>
          <w:szCs w:val="24"/>
        </w:rPr>
        <w:t>tr.protokola,članarine</w:t>
      </w:r>
      <w:proofErr w:type="spellEnd"/>
      <w:r>
        <w:rPr>
          <w:rFonts w:ascii="Arial" w:hAnsi="Arial" w:cs="Arial"/>
          <w:bCs/>
          <w:sz w:val="24"/>
          <w:szCs w:val="24"/>
        </w:rPr>
        <w:t>, pristojbe i naknade, reprezentacija), financijski rashodi (</w:t>
      </w:r>
      <w:proofErr w:type="spellStart"/>
      <w:r>
        <w:rPr>
          <w:rFonts w:ascii="Arial" w:hAnsi="Arial" w:cs="Arial"/>
          <w:bCs/>
          <w:sz w:val="24"/>
          <w:szCs w:val="24"/>
        </w:rPr>
        <w:t>tr.banke</w:t>
      </w:r>
      <w:proofErr w:type="spellEnd"/>
      <w:r>
        <w:rPr>
          <w:rFonts w:ascii="Arial" w:hAnsi="Arial" w:cs="Arial"/>
          <w:bCs/>
          <w:sz w:val="24"/>
          <w:szCs w:val="24"/>
        </w:rPr>
        <w:t xml:space="preserve"> i usluga platnog prometa), rashodi za nabavu dugotrajne imovine (oprema za potrebe JUO), izdaci za otplatu glavnice primljenih </w:t>
      </w:r>
      <w:proofErr w:type="spellStart"/>
      <w:r>
        <w:rPr>
          <w:rFonts w:ascii="Arial" w:hAnsi="Arial" w:cs="Arial"/>
          <w:bCs/>
          <w:sz w:val="24"/>
          <w:szCs w:val="24"/>
        </w:rPr>
        <w:t>kredita,a</w:t>
      </w:r>
      <w:proofErr w:type="spellEnd"/>
      <w:r>
        <w:rPr>
          <w:rFonts w:ascii="Arial" w:hAnsi="Arial" w:cs="Arial"/>
          <w:bCs/>
          <w:sz w:val="24"/>
          <w:szCs w:val="24"/>
        </w:rPr>
        <w:t xml:space="preserve"> odnose se na obročnu otplatu povrata poreza i prireza za 2021.godinu i povrat beskamatnog zajma dobivenog uslijed pada prihoda.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0112 OPĆINSKA TIJELA: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Aktivnost A000112 OPĆINSKO VIJEĆE: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planirani su troškovi naknada za rad vijećnika.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Aktivnost A100113 REDOVNO FUNKCIONIRANJE MJESNIH ODBORA: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planirani su troškovi za potrebe redovnog funkcioniranje mjesnih odbora.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Aktivnost A100114 </w:t>
      </w:r>
      <w:r>
        <w:rPr>
          <w:rFonts w:ascii="Arial" w:hAnsi="Arial" w:cs="Arial"/>
          <w:bCs/>
          <w:caps/>
          <w:sz w:val="24"/>
          <w:szCs w:val="24"/>
        </w:rPr>
        <w:t>Troškovi izbornih povjerenstva</w:t>
      </w:r>
      <w:r>
        <w:rPr>
          <w:rFonts w:ascii="Arial" w:hAnsi="Arial" w:cs="Arial"/>
          <w:bCs/>
          <w:sz w:val="24"/>
          <w:szCs w:val="24"/>
        </w:rPr>
        <w:t>:</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planirana su sredstva za provođenje referenduma.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Aktivnosti A100116 SAVJET MLADIH:</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planirani su troškovi djelovanja savjeta mladih Općine Pokupsko.</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Program 0013 JAVNI RADOVI:</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programa planiraju se rashodi za zaposlene na javnim radovima.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Program 0114 PROGRAM ZAŽELI:</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programa planirano je 78.741,79 EUR za zapošljavanje 12 žena kao pomoć za 72 krajnjih korisnika, te voditelja projekta. U okviru programa su planirani i troškovi paketa za krajnje korisnike, te radna odjeća za žene i promidžbeni materijal.</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Projekt je financiran 85% iz Europskog socijalnog fonda i 15% iz proračuna RH.</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1116 SANACIJA POSLJEDICA POTRESA (28.i29.12.2020)</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T160001 Pomoć građanima i kućanstvima nakon potresa: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programa planirano je 3.981,68 EUR za nužne zahvate (popravak el. instalacija, vodovodnih) na mobilnim jedinicama za stanovanje.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T160002 SANACIJA NERAZVRSTANIH CESTA OŠTEĆENIH U POTRESU:</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projekta planirano je 1.745.304,93 EUR, za sanaciju nerazvrstanih cesta na području Općine Pokupsko. Trošak koji se financira sredstvima iz Fonda solidarnosti EU iznosi 1.725.396,51 EUR . U iznosu od 19.908,42 EUR planirani su i rashodi za provođenje projekta, te ostali nespomenuti rashodi.</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T160004 SANACIJA JAVNIH ZGRADA OŠTEĆENIH U POTRESU</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U okviru ovog projekta planirani su rashodi za obnovu DK </w:t>
      </w:r>
      <w:proofErr w:type="spellStart"/>
      <w:r>
        <w:rPr>
          <w:rFonts w:ascii="Arial" w:hAnsi="Arial" w:cs="Arial"/>
          <w:bCs/>
          <w:sz w:val="24"/>
          <w:szCs w:val="24"/>
        </w:rPr>
        <w:t>Krpečanci</w:t>
      </w:r>
      <w:proofErr w:type="spellEnd"/>
      <w:r>
        <w:rPr>
          <w:rFonts w:ascii="Arial" w:hAnsi="Arial" w:cs="Arial"/>
          <w:bCs/>
          <w:sz w:val="24"/>
          <w:szCs w:val="24"/>
        </w:rPr>
        <w:t xml:space="preserve">, DK </w:t>
      </w:r>
      <w:proofErr w:type="spellStart"/>
      <w:r>
        <w:rPr>
          <w:rFonts w:ascii="Arial" w:hAnsi="Arial" w:cs="Arial"/>
          <w:bCs/>
          <w:sz w:val="24"/>
          <w:szCs w:val="24"/>
        </w:rPr>
        <w:t>Strezojevo</w:t>
      </w:r>
      <w:proofErr w:type="spellEnd"/>
      <w:r>
        <w:rPr>
          <w:rFonts w:ascii="Arial" w:hAnsi="Arial" w:cs="Arial"/>
          <w:bCs/>
          <w:sz w:val="24"/>
          <w:szCs w:val="24"/>
        </w:rPr>
        <w:t xml:space="preserve">, DK </w:t>
      </w:r>
      <w:proofErr w:type="spellStart"/>
      <w:r>
        <w:rPr>
          <w:rFonts w:ascii="Arial" w:hAnsi="Arial" w:cs="Arial"/>
          <w:bCs/>
          <w:sz w:val="24"/>
          <w:szCs w:val="24"/>
        </w:rPr>
        <w:t>Šestak</w:t>
      </w:r>
      <w:proofErr w:type="spellEnd"/>
      <w:r>
        <w:rPr>
          <w:rFonts w:ascii="Arial" w:hAnsi="Arial" w:cs="Arial"/>
          <w:bCs/>
          <w:sz w:val="24"/>
          <w:szCs w:val="24"/>
        </w:rPr>
        <w:t xml:space="preserve"> Brdo i DK dom Lukinić Brdo.</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T160005 Vodovod </w:t>
      </w:r>
      <w:proofErr w:type="spellStart"/>
      <w:r>
        <w:rPr>
          <w:rFonts w:ascii="Arial" w:hAnsi="Arial" w:cs="Arial"/>
          <w:bCs/>
          <w:sz w:val="24"/>
          <w:szCs w:val="24"/>
        </w:rPr>
        <w:t>III.faza</w:t>
      </w:r>
      <w:proofErr w:type="spellEnd"/>
      <w:r>
        <w:rPr>
          <w:rFonts w:ascii="Arial" w:hAnsi="Arial" w:cs="Arial"/>
          <w:bCs/>
          <w:sz w:val="24"/>
          <w:szCs w:val="24"/>
        </w:rPr>
        <w:t xml:space="preserve"> </w:t>
      </w:r>
      <w:proofErr w:type="spellStart"/>
      <w:r>
        <w:rPr>
          <w:rFonts w:ascii="Arial" w:hAnsi="Arial" w:cs="Arial"/>
          <w:bCs/>
          <w:sz w:val="24"/>
          <w:szCs w:val="24"/>
        </w:rPr>
        <w:t>Gladovec</w:t>
      </w:r>
      <w:proofErr w:type="spellEnd"/>
      <w:r>
        <w:rPr>
          <w:rFonts w:ascii="Arial" w:hAnsi="Arial" w:cs="Arial"/>
          <w:bCs/>
          <w:sz w:val="24"/>
          <w:szCs w:val="24"/>
        </w:rPr>
        <w:t xml:space="preserve"> Pokupski i </w:t>
      </w:r>
      <w:proofErr w:type="spellStart"/>
      <w:r>
        <w:rPr>
          <w:rFonts w:ascii="Arial" w:hAnsi="Arial" w:cs="Arial"/>
          <w:bCs/>
          <w:sz w:val="24"/>
          <w:szCs w:val="24"/>
        </w:rPr>
        <w:t>Strezojevo</w:t>
      </w:r>
      <w:proofErr w:type="spellEnd"/>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U </w:t>
      </w:r>
      <w:proofErr w:type="spellStart"/>
      <w:r>
        <w:rPr>
          <w:rFonts w:ascii="Arial" w:hAnsi="Arial" w:cs="Arial"/>
          <w:bCs/>
          <w:sz w:val="24"/>
          <w:szCs w:val="24"/>
        </w:rPr>
        <w:t>okvriru</w:t>
      </w:r>
      <w:proofErr w:type="spellEnd"/>
      <w:r>
        <w:rPr>
          <w:rFonts w:ascii="Arial" w:hAnsi="Arial" w:cs="Arial"/>
          <w:bCs/>
          <w:sz w:val="24"/>
          <w:szCs w:val="24"/>
        </w:rPr>
        <w:t xml:space="preserve"> ovog projekta planirani su rashodi vlastitog udjela u financiranju izgradnje navedenog vodovoda.</w:t>
      </w:r>
    </w:p>
    <w:p>
      <w:pPr>
        <w:autoSpaceDE w:val="0"/>
        <w:autoSpaceDN w:val="0"/>
        <w:adjustRightInd w:val="0"/>
        <w:spacing w:after="0" w:line="240" w:lineRule="auto"/>
        <w:rPr>
          <w:rFonts w:ascii="Arial" w:hAnsi="Arial" w:cs="Arial"/>
          <w:bCs/>
          <w:sz w:val="24"/>
          <w:szCs w:val="24"/>
        </w:rPr>
      </w:pPr>
    </w:p>
    <w:p>
      <w:pPr>
        <w:ind w:firstLine="708"/>
        <w:jc w:val="both"/>
        <w:rPr>
          <w:rFonts w:ascii="Arial" w:hAnsi="Arial" w:cs="Arial"/>
          <w:sz w:val="24"/>
        </w:rPr>
      </w:pPr>
      <w:r>
        <w:rPr>
          <w:rFonts w:ascii="Arial" w:hAnsi="Arial" w:cs="Arial"/>
          <w:b/>
          <w:color w:val="000000" w:themeColor="text1"/>
          <w:sz w:val="24"/>
        </w:rPr>
        <w:t>OPĆI CILJ:</w:t>
      </w:r>
      <w:r>
        <w:rPr>
          <w:rFonts w:ascii="Arial" w:hAnsi="Arial" w:cs="Arial"/>
          <w:color w:val="000000" w:themeColor="text1"/>
          <w:sz w:val="24"/>
        </w:rPr>
        <w:t xml:space="preserve"> </w:t>
      </w:r>
      <w:r>
        <w:rPr>
          <w:rFonts w:ascii="Arial" w:hAnsi="Arial" w:cs="Arial"/>
          <w:sz w:val="24"/>
        </w:rPr>
        <w:t xml:space="preserve">Provođenje redovnih aktivnosti i poslova utvrđenih Pravilnikom o unutarnjem ustrojstvu putem opisa i popisa poslova za  zaposlenike. Efikasno obavljanje poslova i zadaća od lokalnog značaja, te razvoj demokratskog sustava. </w:t>
      </w:r>
    </w:p>
    <w:p>
      <w:pPr>
        <w:ind w:firstLine="708"/>
        <w:jc w:val="both"/>
        <w:rPr>
          <w:rFonts w:ascii="Arial" w:hAnsi="Arial" w:cs="Arial"/>
          <w:sz w:val="24"/>
        </w:rPr>
      </w:pPr>
      <w:r>
        <w:rPr>
          <w:rFonts w:ascii="Arial" w:hAnsi="Arial" w:cs="Arial"/>
          <w:b/>
          <w:sz w:val="24"/>
        </w:rPr>
        <w:t>POSEBNI CILJ</w:t>
      </w:r>
      <w:r>
        <w:rPr>
          <w:rFonts w:ascii="Arial" w:hAnsi="Arial" w:cs="Arial"/>
          <w:sz w:val="24"/>
        </w:rPr>
        <w:t>: Povećanje efikasnosti izvršavanja Proračuna i namjenskog korištenja proračunskih sredstava. Utvrđivanje i provođenje rada, ciljeva i razvoja Općine Pokupsko.</w:t>
      </w:r>
    </w:p>
    <w:p>
      <w:pPr>
        <w:ind w:firstLine="708"/>
        <w:jc w:val="both"/>
        <w:rPr>
          <w:rFonts w:ascii="Arial" w:hAnsi="Arial" w:cs="Arial"/>
          <w:sz w:val="24"/>
        </w:rPr>
      </w:pPr>
      <w:r>
        <w:rPr>
          <w:rFonts w:ascii="Arial" w:hAnsi="Arial" w:cs="Arial"/>
          <w:b/>
          <w:sz w:val="24"/>
        </w:rPr>
        <w:t>POKAZATELJ USPJEŠNOSTI:</w:t>
      </w:r>
      <w:r>
        <w:rPr>
          <w:rFonts w:ascii="Arial" w:hAnsi="Arial" w:cs="Arial"/>
          <w:sz w:val="24"/>
        </w:rPr>
        <w:t xml:space="preserve"> Zadovoljstvo mještana radom Jedinstvenog upravnog odjela, te povećanje stupnja uspješnosti provedbe operativnih ciljeva i zadataka. Uspješnost realizacije sanacije štete od potresa vezane uz brze popravke, zadovoljstvo mještana.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1211 JAVNU RED I SIGURNOST:</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Planirana su sredstva za DVD, Crveni križ, HGSS u ukupnom iznosu od 31.876,33 EUR. Također planirani su rashodi za zbrinjavanje životinja, deratizaciju, stručne poslove zaštite na radu, godišnji servis vatrogasnih aparata, prijevoz pokojnika na obdukciju u ukupnom iznosu od 16.855,79 EUR.</w:t>
      </w:r>
    </w:p>
    <w:p>
      <w:pPr>
        <w:autoSpaceDE w:val="0"/>
        <w:autoSpaceDN w:val="0"/>
        <w:adjustRightInd w:val="0"/>
        <w:spacing w:after="0" w:line="240" w:lineRule="auto"/>
        <w:rPr>
          <w:rFonts w:ascii="Arial" w:hAnsi="Arial" w:cs="Arial"/>
          <w:bCs/>
          <w:sz w:val="24"/>
          <w:szCs w:val="24"/>
        </w:rPr>
      </w:pP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sz w:val="24"/>
          <w:szCs w:val="24"/>
          <w:lang w:eastAsia="ar-SA"/>
        </w:rPr>
        <w:t>OPĆI CILJ:</w:t>
      </w:r>
      <w:r>
        <w:rPr>
          <w:rFonts w:ascii="Arial" w:eastAsia="Times New Roman" w:hAnsi="Arial" w:cs="Arial"/>
          <w:sz w:val="24"/>
          <w:szCs w:val="24"/>
          <w:lang w:eastAsia="ar-SA"/>
        </w:rPr>
        <w:t xml:space="preserve"> Organizacija financiranja planiranih djelatnosti i opremanje u svrhu efikasnije zaštite ljudi i imovine.</w:t>
      </w: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sz w:val="24"/>
          <w:szCs w:val="24"/>
          <w:lang w:eastAsia="ar-SA"/>
        </w:rPr>
        <w:t>POSEBNI CILJ:</w:t>
      </w:r>
      <w:r>
        <w:rPr>
          <w:rFonts w:ascii="Arial" w:eastAsia="Times New Roman" w:hAnsi="Arial" w:cs="Arial"/>
          <w:sz w:val="24"/>
          <w:szCs w:val="24"/>
          <w:lang w:eastAsia="ar-SA"/>
        </w:rPr>
        <w:t xml:space="preserve"> Osigurati uvjete za učinkovitu i uspješnu zaštitu i spašavanje ljudi i imovine.</w:t>
      </w: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sz w:val="24"/>
          <w:szCs w:val="24"/>
          <w:lang w:eastAsia="ar-SA"/>
        </w:rPr>
        <w:t>POKAZATELJ USPJEŠNOSTI</w:t>
      </w:r>
      <w:r>
        <w:rPr>
          <w:rFonts w:ascii="Arial" w:eastAsia="Times New Roman" w:hAnsi="Arial" w:cs="Arial"/>
          <w:sz w:val="24"/>
          <w:szCs w:val="24"/>
          <w:lang w:eastAsia="ar-SA"/>
        </w:rPr>
        <w:t>: Unapređenje opremljenosti snaga za zaštitu i spašavanje, brzina i uspješnost hitnih intervencija.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0131 PROGRAM DRUŠTEVNIH DJELATNOSTI:</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A001311 PROGRAM POTREBA U KULTURI:</w:t>
      </w:r>
      <w:r>
        <w:rPr>
          <w:rFonts w:ascii="Arial" w:hAnsi="Arial" w:cs="Arial"/>
          <w:bCs/>
          <w:sz w:val="24"/>
          <w:szCs w:val="24"/>
        </w:rPr>
        <w:tab/>
        <w:t xml:space="preserve"> </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Planirani rashodi iznose 3.981,68 EUR, a odnose se na financiranje projekata i programa udruga iz područja kulture.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A001312 VJERSKE USTANOVE: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planirani su rashodi u iznosu od 1.327,23 EUR, za potrebe Župe.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A001313 SPORTSKE AKTIVNOSTI:</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Planirani rashodi iznose 15.926,74 EUR, a odnose se na financiranje projekata i programa u području sporta.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A001314 PROGRAM SOCIJALNE SKRBI:</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programa planirane su pomoći za opremu za novorođenčad, naknada za troškove stanovanja, jednokratne pomoći, naknada za grobno mjesto i program Pomoć u kući.</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A001317 POLITIČKE STRANKE I UDRUGE DRUŠTVENIH SKUPINA: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Za programe i projekte udruga društvenih skupina planirana su sredstva u iznosu od 3.284,89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A101318  ŠKOLSTVO:</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U okviru ove aktivnosti planirani su rashodi za subvenciju prijevoza učenika i studenata, stipendije, darovi za </w:t>
      </w:r>
      <w:proofErr w:type="spellStart"/>
      <w:r>
        <w:rPr>
          <w:rFonts w:ascii="Arial" w:hAnsi="Arial" w:cs="Arial"/>
          <w:bCs/>
          <w:sz w:val="24"/>
          <w:szCs w:val="24"/>
        </w:rPr>
        <w:t>sv.Nikolu</w:t>
      </w:r>
      <w:proofErr w:type="spellEnd"/>
      <w:r>
        <w:rPr>
          <w:rFonts w:ascii="Arial" w:hAnsi="Arial" w:cs="Arial"/>
          <w:bCs/>
          <w:sz w:val="24"/>
          <w:szCs w:val="24"/>
        </w:rPr>
        <w:t xml:space="preserve"> i radni materijali za osnovnu školu. Ukupan iznos rashoda iznosi 48.842,00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A101319 PREDŠKOLSKI ODGOJ:</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Ukupan iznos planiranih sredstava je 92.905,96 EUR, a odnosi se na rashode subvencije polaznicima dječjeg vrtića.</w:t>
      </w:r>
    </w:p>
    <w:p>
      <w:pPr>
        <w:autoSpaceDE w:val="0"/>
        <w:autoSpaceDN w:val="0"/>
        <w:adjustRightInd w:val="0"/>
        <w:spacing w:after="0" w:line="240" w:lineRule="auto"/>
        <w:rPr>
          <w:rFonts w:ascii="Arial" w:hAnsi="Arial" w:cs="Arial"/>
          <w:bCs/>
          <w:sz w:val="24"/>
          <w:szCs w:val="24"/>
        </w:rPr>
      </w:pP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sz w:val="24"/>
          <w:szCs w:val="24"/>
          <w:lang w:eastAsia="ar-SA"/>
        </w:rPr>
        <w:t>OPĆI CILJ:</w:t>
      </w:r>
      <w:r>
        <w:rPr>
          <w:rFonts w:ascii="Arial" w:eastAsia="Times New Roman" w:hAnsi="Arial" w:cs="Arial"/>
          <w:sz w:val="24"/>
          <w:szCs w:val="24"/>
          <w:lang w:eastAsia="ar-SA"/>
        </w:rPr>
        <w:t xml:space="preserve"> Djelovanje i rad udruga društvenih i kulturnih skupina, te očuvanje kulturnog identiteta. Financiranje rada i djelovanja ostalih udruga i zajednica. Promicanje sporta u svrhu očuvanja zdravlja. Pomoći za potrebe korisnicima koji nemaju dovoljno sredstava za podmirenje osnovnih životnih potreba . Osiguranje višeg stupnja i standarda obrazovanja putem subvencija i pomoći obiteljima u podmirenju troškova.</w:t>
      </w:r>
    </w:p>
    <w:p>
      <w:pPr>
        <w:suppressAutoHyphens/>
        <w:spacing w:after="0" w:line="240" w:lineRule="auto"/>
        <w:ind w:firstLine="360"/>
        <w:jc w:val="both"/>
        <w:rPr>
          <w:rFonts w:ascii="Arial" w:eastAsia="Times New Roman" w:hAnsi="Arial" w:cs="Arial"/>
          <w:sz w:val="24"/>
          <w:szCs w:val="24"/>
          <w:lang w:eastAsia="ar-SA"/>
        </w:rPr>
      </w:pPr>
    </w:p>
    <w:p>
      <w:pPr>
        <w:suppressAutoHyphens/>
        <w:spacing w:after="0" w:line="240" w:lineRule="auto"/>
        <w:ind w:firstLine="360"/>
        <w:jc w:val="both"/>
        <w:rPr>
          <w:rFonts w:ascii="Arial" w:eastAsia="Times New Roman" w:hAnsi="Arial" w:cs="Arial"/>
          <w:sz w:val="24"/>
          <w:szCs w:val="24"/>
          <w:lang w:eastAsia="ar-SA"/>
        </w:rPr>
      </w:pP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sz w:val="24"/>
          <w:szCs w:val="24"/>
          <w:lang w:eastAsia="ar-SA"/>
        </w:rPr>
        <w:t>POSEBNI CILJ:</w:t>
      </w:r>
      <w:r>
        <w:rPr>
          <w:rFonts w:ascii="Arial" w:eastAsia="Times New Roman" w:hAnsi="Arial" w:cs="Arial"/>
          <w:sz w:val="24"/>
          <w:szCs w:val="24"/>
          <w:lang w:eastAsia="ar-SA"/>
        </w:rPr>
        <w:t xml:space="preserve"> Razvoj i poticanje kvalitetnih i uspješnih programa u kulturi, unapređenje kulturnog i društvenog života, te prezentacija lokalne tradicijske baštine. Poticanje djelovanja korisnih sadržaja, vjerskih zajednica, udruga branitelja, umirovljenika itd. Poticanje mladih sportaša, okupljanja građana i promicanje sporta. Osigurati osnovne životne potrebe obiteljima slabijeg socijalnog stanja. Podizanje kvalitete odgoja i obrazovanja, te očuvanje tjelesnog i mentalnog zdravlja djece. Uključivanje što većeg broja djece u programe kojima se osigurava odgoj, naobrazba, njega i zdravstvena zaštita djece predškolske dobi.</w:t>
      </w:r>
    </w:p>
    <w:p>
      <w:pPr>
        <w:suppressAutoHyphens/>
        <w:spacing w:after="0" w:line="240" w:lineRule="auto"/>
        <w:ind w:firstLine="360"/>
        <w:jc w:val="both"/>
        <w:rPr>
          <w:rFonts w:ascii="Arial" w:eastAsia="Times New Roman" w:hAnsi="Arial" w:cs="Arial"/>
          <w:sz w:val="24"/>
          <w:szCs w:val="24"/>
          <w:lang w:eastAsia="ar-SA"/>
        </w:rPr>
      </w:pPr>
    </w:p>
    <w:p>
      <w:pPr>
        <w:suppressAutoHyphens/>
        <w:spacing w:after="0" w:line="240" w:lineRule="auto"/>
        <w:ind w:firstLine="360"/>
        <w:jc w:val="both"/>
        <w:rPr>
          <w:rFonts w:ascii="Arial" w:eastAsia="Times New Roman" w:hAnsi="Arial" w:cs="Arial"/>
          <w:sz w:val="24"/>
          <w:szCs w:val="24"/>
          <w:lang w:eastAsia="ar-SA"/>
        </w:rPr>
      </w:pP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sz w:val="24"/>
          <w:szCs w:val="24"/>
          <w:lang w:eastAsia="ar-SA"/>
        </w:rPr>
        <w:t>POKAZATELJ USPJEŠNOSTI:</w:t>
      </w:r>
      <w:r>
        <w:rPr>
          <w:rFonts w:ascii="Arial" w:eastAsia="Times New Roman" w:hAnsi="Arial" w:cs="Arial"/>
          <w:sz w:val="24"/>
          <w:szCs w:val="24"/>
          <w:lang w:eastAsia="ar-SA"/>
        </w:rPr>
        <w:t xml:space="preserve"> Povećanje broja mladih osoba koji su uključeni u programe za promicanje kulture i očuvanje kulturne baštine, obogaćivanje turističke ponude razvojem novih sadržaja i privlačenjem posjetitelja. Unapređenje rada udruga, vjerskih zajednica i razvoja turizma. Povećanje broja članova uključenih u sportske organizacije, te povećanje broja osoba koje se bave sportom. Zadovoljstvo provedenim aktivnostima. Povećanje broja djece uključenih u redovne programe odgoja i predškolskog obrazovanja, te kvaliteta obavljanja redovne djelatnosti predškolske ustanove.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0141 ODRŽAVANJE KOMUNALNE INFRASTRUKTURE: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A0014111 REDOVNO ODRŽAVANJE NERAZVRSTANIH CESTA: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planirano je 79.633,68 EUR, planirani rashodi se odnose na materijal za održavanje, uslugu održavanja, zimsku službu, te prometnu signalizaciju (horizontalnu i vertikalnu).</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A001415 POLJSKI I ŠUMSKI PUTEVI:</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Planirani rashodi su 11.945,05 EUR, a odnose se na održavanje poljskih i šumskih puteva.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A001416 JAVNA RASVJETA: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U okviru ove aktivnosti planirani su troškovi u iznosu od 100.000,00 EUR za električnu energiju za javnu rasvjetu. Naime, krajem 2022.godine, istekao je četverogodišnji ugovor o opskrbi </w:t>
      </w:r>
      <w:proofErr w:type="spellStart"/>
      <w:r>
        <w:rPr>
          <w:rFonts w:ascii="Arial" w:hAnsi="Arial" w:cs="Arial"/>
          <w:bCs/>
          <w:sz w:val="24"/>
          <w:szCs w:val="24"/>
        </w:rPr>
        <w:t>el.energijom</w:t>
      </w:r>
      <w:proofErr w:type="spellEnd"/>
      <w:r>
        <w:rPr>
          <w:rFonts w:ascii="Arial" w:hAnsi="Arial" w:cs="Arial"/>
          <w:bCs/>
          <w:sz w:val="24"/>
          <w:szCs w:val="24"/>
        </w:rPr>
        <w:t xml:space="preserve">, sklapanjem novog ugovora, po novim tržišnim cijenama, trošak </w:t>
      </w:r>
      <w:proofErr w:type="spellStart"/>
      <w:r>
        <w:rPr>
          <w:rFonts w:ascii="Arial" w:hAnsi="Arial" w:cs="Arial"/>
          <w:bCs/>
          <w:sz w:val="24"/>
          <w:szCs w:val="24"/>
        </w:rPr>
        <w:t>el.energije</w:t>
      </w:r>
      <w:proofErr w:type="spellEnd"/>
      <w:r>
        <w:rPr>
          <w:rFonts w:ascii="Arial" w:hAnsi="Arial" w:cs="Arial"/>
          <w:bCs/>
          <w:sz w:val="24"/>
          <w:szCs w:val="24"/>
        </w:rPr>
        <w:t xml:space="preserve"> je 7 puta veći u odnosu na prethodno  razdoblje. U skladu s novom cijenom el. energije, koja je ograničena do ožujka 2023.godine,i zamjenom neučinkovitih rasvjetnih tijela novom LED rasvjetom, predviđen je trošak </w:t>
      </w:r>
      <w:proofErr w:type="spellStart"/>
      <w:r>
        <w:rPr>
          <w:rFonts w:ascii="Arial" w:hAnsi="Arial" w:cs="Arial"/>
          <w:bCs/>
          <w:sz w:val="24"/>
          <w:szCs w:val="24"/>
        </w:rPr>
        <w:t>el.energije</w:t>
      </w:r>
      <w:proofErr w:type="spellEnd"/>
      <w:r>
        <w:rPr>
          <w:rFonts w:ascii="Arial" w:hAnsi="Arial" w:cs="Arial"/>
          <w:bCs/>
          <w:sz w:val="24"/>
          <w:szCs w:val="24"/>
        </w:rPr>
        <w:t xml:space="preserve"> javne rasvjete za 2023.u iznosu od 100.000,00 EUR. </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Planirane su i usluge i materijal za redovno održavanje javne rasvjete u iznosu od 13.500,00 EUR, te usluge pojačanog održavanja (premještanje svjetiljki sa starih stupova na betonske) u iznosu od 26.500,00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A001417 JAVNE POVRŠINE: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planirani su rashodi u iznosu od 37.295,10 EUR za usluge održavanja javnih površina.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A101418 TOPLANA: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U okviru ove aktivnosti planirani su rashodi materijala i usluga tekućeg i investicijskog održavanja toplane i </w:t>
      </w:r>
      <w:proofErr w:type="spellStart"/>
      <w:r>
        <w:rPr>
          <w:rFonts w:ascii="Arial" w:hAnsi="Arial" w:cs="Arial"/>
          <w:bCs/>
          <w:sz w:val="24"/>
          <w:szCs w:val="24"/>
        </w:rPr>
        <w:t>toplovoda</w:t>
      </w:r>
      <w:proofErr w:type="spellEnd"/>
      <w:r>
        <w:rPr>
          <w:rFonts w:ascii="Arial" w:hAnsi="Arial" w:cs="Arial"/>
          <w:bCs/>
          <w:sz w:val="24"/>
          <w:szCs w:val="24"/>
        </w:rPr>
        <w:t>.</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A101419 MRTVAČNICE: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Planirani su rashodi u iznosu od 3.981,69 EUR za usluge i materijal tekućeg održavanja, te energiju.</w:t>
      </w:r>
    </w:p>
    <w:p>
      <w:pPr>
        <w:autoSpaceDE w:val="0"/>
        <w:autoSpaceDN w:val="0"/>
        <w:adjustRightInd w:val="0"/>
        <w:spacing w:after="0" w:line="240" w:lineRule="auto"/>
        <w:rPr>
          <w:rFonts w:ascii="Arial" w:hAnsi="Arial" w:cs="Arial"/>
          <w:bCs/>
          <w:sz w:val="24"/>
          <w:szCs w:val="24"/>
        </w:rPr>
      </w:pP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color w:val="000000" w:themeColor="text1"/>
          <w:sz w:val="24"/>
          <w:szCs w:val="24"/>
          <w:lang w:eastAsia="ar-SA"/>
        </w:rPr>
        <w:t>OPĆI CILJ:</w:t>
      </w:r>
      <w:r>
        <w:rPr>
          <w:rFonts w:ascii="Arial" w:eastAsia="Times New Roman" w:hAnsi="Arial" w:cs="Arial"/>
          <w:color w:val="000000" w:themeColor="text1"/>
          <w:sz w:val="24"/>
          <w:szCs w:val="24"/>
          <w:lang w:eastAsia="ar-SA"/>
        </w:rPr>
        <w:t xml:space="preserve"> </w:t>
      </w:r>
      <w:r>
        <w:rPr>
          <w:rFonts w:ascii="Arial" w:eastAsia="Times New Roman" w:hAnsi="Arial" w:cs="Arial"/>
          <w:sz w:val="24"/>
          <w:szCs w:val="24"/>
          <w:lang w:eastAsia="ar-SA"/>
        </w:rPr>
        <w:t>Obavljanje komunalne djelatnosti.</w:t>
      </w:r>
    </w:p>
    <w:p>
      <w:pPr>
        <w:suppressAutoHyphens/>
        <w:spacing w:after="0" w:line="240" w:lineRule="auto"/>
        <w:ind w:firstLine="708"/>
        <w:jc w:val="both"/>
        <w:rPr>
          <w:rFonts w:ascii="Arial" w:eastAsia="Times New Roman" w:hAnsi="Arial" w:cs="Arial"/>
          <w:sz w:val="24"/>
          <w:szCs w:val="24"/>
          <w:lang w:eastAsia="ar-SA"/>
        </w:rPr>
      </w:pP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sz w:val="24"/>
          <w:szCs w:val="24"/>
          <w:lang w:eastAsia="ar-SA"/>
        </w:rPr>
        <w:t>POSEBNI CILJ:</w:t>
      </w:r>
      <w:r>
        <w:rPr>
          <w:rFonts w:ascii="Arial" w:eastAsia="Times New Roman" w:hAnsi="Arial" w:cs="Arial"/>
          <w:sz w:val="24"/>
          <w:szCs w:val="24"/>
          <w:lang w:eastAsia="ar-SA"/>
        </w:rPr>
        <w:t xml:space="preserve"> Kontinuirano i kvalitetno obavljanje komunalne djelatnosti.</w:t>
      </w:r>
    </w:p>
    <w:p>
      <w:pPr>
        <w:suppressAutoHyphens/>
        <w:spacing w:after="0" w:line="240" w:lineRule="auto"/>
        <w:ind w:firstLine="708"/>
        <w:jc w:val="both"/>
        <w:rPr>
          <w:rFonts w:ascii="Arial" w:eastAsia="Times New Roman" w:hAnsi="Arial" w:cs="Arial"/>
          <w:sz w:val="24"/>
          <w:szCs w:val="24"/>
          <w:lang w:eastAsia="ar-SA"/>
        </w:rPr>
      </w:pP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sz w:val="24"/>
          <w:szCs w:val="24"/>
          <w:lang w:eastAsia="ar-SA"/>
        </w:rPr>
        <w:t>POKAZATELJ USPJEŠNOSTI:</w:t>
      </w:r>
      <w:r>
        <w:rPr>
          <w:rFonts w:ascii="Arial" w:eastAsia="Times New Roman" w:hAnsi="Arial" w:cs="Arial"/>
          <w:sz w:val="24"/>
          <w:szCs w:val="24"/>
          <w:lang w:eastAsia="ar-SA"/>
        </w:rPr>
        <w:t xml:space="preserve"> Zadovoljstvo mještana uslugom, stupanj čistoće javnih površina, funkcionalnost javne rasvjete, efikasnost zimske službe i dr. </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0151 JAVNI OBJEKTI:</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A015111 ZGRADA OPĆINE: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planirani su rashodi za nabavu nefinancijske imovine u iznosu od 2.654,46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A101534 MOBILNO RECIKLAŽNO DVORIŠTE: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Planirani su rashodi za upravljanje mobilnim </w:t>
      </w:r>
      <w:proofErr w:type="spellStart"/>
      <w:r>
        <w:rPr>
          <w:rFonts w:ascii="Arial" w:hAnsi="Arial" w:cs="Arial"/>
          <w:bCs/>
          <w:sz w:val="24"/>
          <w:szCs w:val="24"/>
        </w:rPr>
        <w:t>reciklažnim</w:t>
      </w:r>
      <w:proofErr w:type="spellEnd"/>
      <w:r>
        <w:rPr>
          <w:rFonts w:ascii="Arial" w:hAnsi="Arial" w:cs="Arial"/>
          <w:bCs/>
          <w:sz w:val="24"/>
          <w:szCs w:val="24"/>
        </w:rPr>
        <w:t xml:space="preserve"> dvorištem u iznosu od 13.272,28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A101535 ODRŽAVANJE POSLOVNIH PROSTORA I DOMOVA KULTURE: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U okviru ove aktivnosti planirani su troškovi održavanja i energije poslovnih prostora i domova kulture. Procijenjeni trošak </w:t>
      </w:r>
      <w:proofErr w:type="spellStart"/>
      <w:r>
        <w:rPr>
          <w:rFonts w:ascii="Arial" w:hAnsi="Arial" w:cs="Arial"/>
          <w:bCs/>
          <w:sz w:val="24"/>
          <w:szCs w:val="24"/>
        </w:rPr>
        <w:t>el.energije</w:t>
      </w:r>
      <w:proofErr w:type="spellEnd"/>
      <w:r>
        <w:rPr>
          <w:rFonts w:ascii="Arial" w:hAnsi="Arial" w:cs="Arial"/>
          <w:bCs/>
          <w:sz w:val="24"/>
          <w:szCs w:val="24"/>
        </w:rPr>
        <w:t xml:space="preserve"> iznosi 66.361,40 EUR (ugovor koji je bio sklopljen na razdoblje od 4 godine za opskrbu objekata </w:t>
      </w:r>
      <w:proofErr w:type="spellStart"/>
      <w:r>
        <w:rPr>
          <w:rFonts w:ascii="Arial" w:hAnsi="Arial" w:cs="Arial"/>
          <w:bCs/>
          <w:sz w:val="24"/>
          <w:szCs w:val="24"/>
        </w:rPr>
        <w:t>el.energijom</w:t>
      </w:r>
      <w:proofErr w:type="spellEnd"/>
      <w:r>
        <w:rPr>
          <w:rFonts w:ascii="Arial" w:hAnsi="Arial" w:cs="Arial"/>
          <w:bCs/>
          <w:sz w:val="24"/>
          <w:szCs w:val="24"/>
        </w:rPr>
        <w:t xml:space="preserve">, istekao je krajem 2022.god, te je sklopljen novi ugovor po novim tržišnim cijenama, koje su 7,3 puta veće u odnosu na staru cijenu, te je samim time trošak </w:t>
      </w:r>
      <w:proofErr w:type="spellStart"/>
      <w:r>
        <w:rPr>
          <w:rFonts w:ascii="Arial" w:hAnsi="Arial" w:cs="Arial"/>
          <w:bCs/>
          <w:sz w:val="24"/>
          <w:szCs w:val="24"/>
        </w:rPr>
        <w:t>el.energije</w:t>
      </w:r>
      <w:proofErr w:type="spellEnd"/>
      <w:r>
        <w:rPr>
          <w:rFonts w:ascii="Arial" w:hAnsi="Arial" w:cs="Arial"/>
          <w:bCs/>
          <w:sz w:val="24"/>
          <w:szCs w:val="24"/>
        </w:rPr>
        <w:t xml:space="preserve"> veći 7,3 puta u odnosu na prethodne godine, računajući da nakon ožujka (do kad je Vlada RH zamrznula cijene </w:t>
      </w:r>
      <w:proofErr w:type="spellStart"/>
      <w:r>
        <w:rPr>
          <w:rFonts w:ascii="Arial" w:hAnsi="Arial" w:cs="Arial"/>
          <w:bCs/>
          <w:sz w:val="24"/>
          <w:szCs w:val="24"/>
        </w:rPr>
        <w:t>el.energije</w:t>
      </w:r>
      <w:proofErr w:type="spellEnd"/>
      <w:r>
        <w:rPr>
          <w:rFonts w:ascii="Arial" w:hAnsi="Arial" w:cs="Arial"/>
          <w:bCs/>
          <w:sz w:val="24"/>
          <w:szCs w:val="24"/>
        </w:rPr>
        <w:t>) neće doći do povećanja cijene).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K001514 LOVAČKA KUĆA POKUPSKO</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projekta planirani su rashodi u iznosu od 66.361,40 EUR za zamjenu krovišta i energetsku obnovu fasade.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K001515 REKONSTRUKCIJA DVD-a POKUPSKO:</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projekta planirani su rashodi u ukupnom iznosu od 1.252.801,04 EUR raspoređeni prema izvorima financiranja; 847.867,81 EUR financira se iz proračuna EU, 149.623,73 EUR iz proračuna Republike Hrvatske, vlastiti udio iznosi 255.309,50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K001520 TRADICIJSKA OKUĆNICA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Planirani rashodi iznose 3.981,68 EUR, a odnose se na trošak priključka na vodoopskrbni sustav i izgradnju septičke jame.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K001521 DOM KULTURE POKUPSKI GLADOVEC</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Planirani rashodi iznose 22.297,43 EUR, a odnose se na radove završnog uređenja, priključka struje, projektne dokumentacije.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K001528 DOM KULTURE ROŽENICA I:</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projekta planirani su rashodi u iznosu od 39.816,84 EUR za projektiranje, izgradnju temelja i kupnju crijepa.</w:t>
      </w:r>
    </w:p>
    <w:p>
      <w:pPr>
        <w:autoSpaceDE w:val="0"/>
        <w:autoSpaceDN w:val="0"/>
        <w:adjustRightInd w:val="0"/>
        <w:spacing w:after="0" w:line="240" w:lineRule="auto"/>
        <w:rPr>
          <w:rFonts w:ascii="Arial" w:hAnsi="Arial" w:cs="Arial"/>
          <w:bCs/>
          <w:sz w:val="24"/>
          <w:szCs w:val="24"/>
        </w:rPr>
      </w:pP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sz w:val="24"/>
          <w:szCs w:val="24"/>
          <w:lang w:eastAsia="ar-SA"/>
        </w:rPr>
        <w:t>OPĆI CILJ:</w:t>
      </w:r>
      <w:r>
        <w:rPr>
          <w:rFonts w:ascii="Arial" w:eastAsia="Times New Roman" w:hAnsi="Arial" w:cs="Arial"/>
          <w:sz w:val="24"/>
          <w:szCs w:val="24"/>
          <w:lang w:eastAsia="ar-SA"/>
        </w:rPr>
        <w:t xml:space="preserve"> Unapređenje kulturnog i društvenog života.</w:t>
      </w: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sz w:val="24"/>
          <w:szCs w:val="24"/>
          <w:lang w:eastAsia="ar-SA"/>
        </w:rPr>
        <w:t>POSEBNI CILJ:</w:t>
      </w:r>
      <w:r>
        <w:rPr>
          <w:rFonts w:ascii="Arial" w:eastAsia="Times New Roman" w:hAnsi="Arial" w:cs="Arial"/>
          <w:sz w:val="24"/>
          <w:szCs w:val="24"/>
          <w:lang w:eastAsia="ar-SA"/>
        </w:rPr>
        <w:t xml:space="preserve"> </w:t>
      </w:r>
      <w:r>
        <w:rPr>
          <w:rFonts w:ascii="Arial" w:eastAsia="Times New Roman" w:hAnsi="Arial" w:cs="Arial"/>
          <w:color w:val="000000" w:themeColor="text1"/>
          <w:sz w:val="24"/>
          <w:szCs w:val="24"/>
          <w:lang w:eastAsia="ar-SA"/>
        </w:rPr>
        <w:t>Podizanje kvalitete života i stanovanja.</w:t>
      </w:r>
    </w:p>
    <w:p>
      <w:pPr>
        <w:autoSpaceDE w:val="0"/>
        <w:autoSpaceDN w:val="0"/>
        <w:adjustRightInd w:val="0"/>
        <w:spacing w:after="0" w:line="240" w:lineRule="auto"/>
        <w:ind w:firstLine="708"/>
        <w:rPr>
          <w:rFonts w:ascii="Arial" w:hAnsi="Arial" w:cs="Arial"/>
          <w:bCs/>
          <w:sz w:val="24"/>
          <w:szCs w:val="24"/>
        </w:rPr>
      </w:pPr>
      <w:r>
        <w:rPr>
          <w:rFonts w:ascii="Arial" w:eastAsia="Times New Roman" w:hAnsi="Arial" w:cs="Arial"/>
          <w:b/>
          <w:sz w:val="24"/>
          <w:szCs w:val="24"/>
          <w:lang w:eastAsia="ar-SA"/>
        </w:rPr>
        <w:t>POKAZATELJ USPJEŠNOSTI:</w:t>
      </w:r>
      <w:r>
        <w:rPr>
          <w:rFonts w:ascii="Arial" w:eastAsia="Times New Roman" w:hAnsi="Arial" w:cs="Arial"/>
          <w:sz w:val="24"/>
          <w:szCs w:val="24"/>
          <w:lang w:eastAsia="ar-SA"/>
        </w:rPr>
        <w:t xml:space="preserve"> Zadovoljstvo provedenim aktivnostima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0161 PROGRAM POTICANJA PODUZETNIŠTVA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A00162 POTICAJI RAZVOJU POLJOPRIVREDE: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U okviru ove aktivnosti planiraju se subvencije umjetnog </w:t>
      </w:r>
      <w:proofErr w:type="spellStart"/>
      <w:r>
        <w:rPr>
          <w:rFonts w:ascii="Arial" w:hAnsi="Arial" w:cs="Arial"/>
          <w:bCs/>
          <w:sz w:val="24"/>
          <w:szCs w:val="24"/>
        </w:rPr>
        <w:t>osjemenjivanja</w:t>
      </w:r>
      <w:proofErr w:type="spellEnd"/>
      <w:r>
        <w:rPr>
          <w:rFonts w:ascii="Arial" w:hAnsi="Arial" w:cs="Arial"/>
          <w:bCs/>
          <w:sz w:val="24"/>
          <w:szCs w:val="24"/>
        </w:rPr>
        <w:t xml:space="preserve"> u iznosu 6.636,14 EUR, te trošak stručnog osoblja za provođenje programa zaštite od divljači u iznosu od 1.327,23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A001611 POTICAJI PODUZETNIŠTVA: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planirane su potpore za poticanje poduzetništva.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A001613 UDRUGE U GOSPODARSTVU:</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Planirani rashodi za programe i projekte gospodarskih udruga koje djeluju na području Općine Pokupsko iznose 6.636,14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A001618 PRAĆENJE STANJA U PROSTORU, PROSTORNO I STRATEŠKO PLANIRANJE: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planirani su rashodi za trošak izrade prostornog plana.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K001621 PROJEKTI RAZVOJA TURIZMA: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planirani su rashodi za projektiranje Eko-etno paraka Jezera.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1164 VODOOPSKRBNI OBJEKTI – CJEVOVODI:</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U okviru ovog programa planirani su rashodi za projektiranje, radove i stručni nadzor za vodovod u </w:t>
      </w:r>
      <w:proofErr w:type="spellStart"/>
      <w:r>
        <w:rPr>
          <w:rFonts w:ascii="Arial" w:hAnsi="Arial" w:cs="Arial"/>
          <w:bCs/>
          <w:sz w:val="24"/>
          <w:szCs w:val="24"/>
        </w:rPr>
        <w:t>Zgurić</w:t>
      </w:r>
      <w:proofErr w:type="spellEnd"/>
      <w:r>
        <w:rPr>
          <w:rFonts w:ascii="Arial" w:hAnsi="Arial" w:cs="Arial"/>
          <w:bCs/>
          <w:sz w:val="24"/>
          <w:szCs w:val="24"/>
        </w:rPr>
        <w:t xml:space="preserve"> Brdu i Lijevom </w:t>
      </w:r>
      <w:proofErr w:type="spellStart"/>
      <w:r>
        <w:rPr>
          <w:rFonts w:ascii="Arial" w:hAnsi="Arial" w:cs="Arial"/>
          <w:bCs/>
          <w:sz w:val="24"/>
          <w:szCs w:val="24"/>
        </w:rPr>
        <w:t>Degoju</w:t>
      </w:r>
      <w:proofErr w:type="spellEnd"/>
      <w:r>
        <w:rPr>
          <w:rFonts w:ascii="Arial" w:hAnsi="Arial" w:cs="Arial"/>
          <w:bCs/>
          <w:sz w:val="24"/>
          <w:szCs w:val="24"/>
        </w:rPr>
        <w:t>.</w:t>
      </w:r>
    </w:p>
    <w:p>
      <w:pPr>
        <w:autoSpaceDE w:val="0"/>
        <w:autoSpaceDN w:val="0"/>
        <w:adjustRightInd w:val="0"/>
        <w:spacing w:after="0" w:line="240" w:lineRule="auto"/>
        <w:rPr>
          <w:rFonts w:ascii="Arial" w:hAnsi="Arial" w:cs="Arial"/>
          <w:bCs/>
          <w:sz w:val="24"/>
          <w:szCs w:val="24"/>
        </w:rPr>
      </w:pPr>
    </w:p>
    <w:p>
      <w:pPr>
        <w:ind w:firstLine="708"/>
        <w:jc w:val="both"/>
        <w:rPr>
          <w:rFonts w:ascii="Arial" w:hAnsi="Arial" w:cs="Arial"/>
          <w:sz w:val="24"/>
        </w:rPr>
      </w:pPr>
      <w:r>
        <w:rPr>
          <w:rFonts w:ascii="Arial" w:hAnsi="Arial" w:cs="Arial"/>
          <w:b/>
          <w:sz w:val="24"/>
        </w:rPr>
        <w:t>OPĆI CILJ:</w:t>
      </w:r>
      <w:r>
        <w:rPr>
          <w:rFonts w:ascii="Arial" w:hAnsi="Arial" w:cs="Arial"/>
          <w:sz w:val="24"/>
        </w:rPr>
        <w:t xml:space="preserve"> Osiguranje uvjeta za zadovoljenje osnovnih životnih potreba.</w:t>
      </w:r>
    </w:p>
    <w:p>
      <w:pPr>
        <w:ind w:firstLine="708"/>
        <w:jc w:val="both"/>
        <w:rPr>
          <w:rFonts w:ascii="Arial" w:hAnsi="Arial" w:cs="Arial"/>
          <w:sz w:val="24"/>
        </w:rPr>
      </w:pPr>
      <w:r>
        <w:rPr>
          <w:rFonts w:ascii="Arial" w:hAnsi="Arial" w:cs="Arial"/>
          <w:b/>
          <w:sz w:val="24"/>
        </w:rPr>
        <w:t>POSEBNI CILJ:</w:t>
      </w:r>
      <w:r>
        <w:rPr>
          <w:rFonts w:ascii="Arial" w:hAnsi="Arial" w:cs="Arial"/>
          <w:sz w:val="24"/>
        </w:rPr>
        <w:t xml:space="preserve"> Razvitak sela i poljoprivrede.</w:t>
      </w:r>
    </w:p>
    <w:p>
      <w:pPr>
        <w:ind w:firstLine="708"/>
        <w:rPr>
          <w:rFonts w:ascii="Arial" w:hAnsi="Arial" w:cs="Arial"/>
          <w:sz w:val="24"/>
        </w:rPr>
      </w:pPr>
      <w:r>
        <w:rPr>
          <w:rFonts w:ascii="Arial" w:hAnsi="Arial" w:cs="Arial"/>
          <w:b/>
          <w:sz w:val="24"/>
        </w:rPr>
        <w:t xml:space="preserve">POKAZATELJ </w:t>
      </w:r>
      <w:proofErr w:type="spellStart"/>
      <w:r>
        <w:rPr>
          <w:rFonts w:ascii="Arial" w:hAnsi="Arial" w:cs="Arial"/>
          <w:b/>
          <w:sz w:val="24"/>
        </w:rPr>
        <w:t>USPJEŠNOSTI:</w:t>
      </w:r>
      <w:r>
        <w:rPr>
          <w:rFonts w:ascii="Arial" w:hAnsi="Arial" w:cs="Arial"/>
          <w:sz w:val="24"/>
        </w:rPr>
        <w:t>Zadovoljstvo</w:t>
      </w:r>
      <w:proofErr w:type="spellEnd"/>
      <w:r>
        <w:rPr>
          <w:rFonts w:ascii="Arial" w:hAnsi="Arial" w:cs="Arial"/>
          <w:sz w:val="24"/>
        </w:rPr>
        <w:t xml:space="preserve"> stanovnika provedenim projektom.</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1166 ULAGANJE U OBNOVLJIVE IZVORE ENERGIJE:</w:t>
      </w:r>
    </w:p>
    <w:p>
      <w:pPr>
        <w:autoSpaceDE w:val="0"/>
        <w:autoSpaceDN w:val="0"/>
        <w:adjustRightInd w:val="0"/>
        <w:spacing w:after="0" w:line="240" w:lineRule="auto"/>
        <w:rPr>
          <w:rFonts w:ascii="Arial" w:hAnsi="Arial" w:cs="Arial"/>
          <w:iCs/>
          <w:sz w:val="24"/>
        </w:rPr>
      </w:pPr>
      <w:r>
        <w:rPr>
          <w:rFonts w:ascii="Arial" w:hAnsi="Arial" w:cs="Arial"/>
          <w:bCs/>
          <w:sz w:val="24"/>
          <w:szCs w:val="24"/>
        </w:rPr>
        <w:t xml:space="preserve">U okviru ovog programa planirani su rashodi za izradu </w:t>
      </w:r>
      <w:r>
        <w:rPr>
          <w:rFonts w:ascii="Arial" w:hAnsi="Arial" w:cs="Arial"/>
          <w:iCs/>
          <w:sz w:val="24"/>
        </w:rPr>
        <w:t xml:space="preserve">Studije </w:t>
      </w:r>
      <w:proofErr w:type="spellStart"/>
      <w:r>
        <w:rPr>
          <w:rFonts w:ascii="Arial" w:hAnsi="Arial" w:cs="Arial"/>
          <w:iCs/>
          <w:sz w:val="24"/>
        </w:rPr>
        <w:t>predizvodljivosti</w:t>
      </w:r>
      <w:proofErr w:type="spellEnd"/>
      <w:r>
        <w:rPr>
          <w:rFonts w:ascii="Arial" w:hAnsi="Arial" w:cs="Arial"/>
          <w:iCs/>
          <w:sz w:val="24"/>
        </w:rPr>
        <w:t xml:space="preserve"> male hidroelektrane na području općine Pokupsko za stvaranje preduvjeta za ulaganje potencijalnih investitora u izgradnju HE.</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ab/>
        <w:t>OPĆI CILJ: Iskorištavanje obnovljivih izvora energije.</w:t>
      </w:r>
    </w:p>
    <w:p>
      <w:pPr>
        <w:autoSpaceDE w:val="0"/>
        <w:autoSpaceDN w:val="0"/>
        <w:adjustRightInd w:val="0"/>
        <w:spacing w:after="0" w:line="240" w:lineRule="auto"/>
        <w:rPr>
          <w:rFonts w:ascii="Arial" w:hAnsi="Arial" w:cs="Arial"/>
          <w:iCs/>
          <w:sz w:val="24"/>
        </w:rPr>
      </w:pPr>
      <w:r>
        <w:rPr>
          <w:rFonts w:ascii="Arial" w:hAnsi="Arial" w:cs="Arial"/>
          <w:iCs/>
          <w:sz w:val="24"/>
        </w:rPr>
        <w:tab/>
        <w:t>POSEBNI CILJ: Gospodarski razvoj Općine Pokupsko</w:t>
      </w:r>
    </w:p>
    <w:p>
      <w:pPr>
        <w:autoSpaceDE w:val="0"/>
        <w:autoSpaceDN w:val="0"/>
        <w:adjustRightInd w:val="0"/>
        <w:spacing w:after="0" w:line="240" w:lineRule="auto"/>
        <w:rPr>
          <w:rFonts w:ascii="Arial" w:hAnsi="Arial" w:cs="Arial"/>
          <w:iCs/>
          <w:sz w:val="24"/>
        </w:rPr>
      </w:pPr>
      <w:r>
        <w:rPr>
          <w:rFonts w:ascii="Arial" w:hAnsi="Arial" w:cs="Arial"/>
          <w:iCs/>
          <w:sz w:val="24"/>
        </w:rPr>
        <w:tab/>
        <w:t>POKAZATELJ USPJEŠNOSTI: Sigurnija i pouzdanija opskrba električnom energijom.</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b/>
          <w:iCs/>
          <w:sz w:val="24"/>
        </w:rPr>
      </w:pPr>
      <w:r>
        <w:rPr>
          <w:rFonts w:ascii="Arial" w:hAnsi="Arial" w:cs="Arial"/>
          <w:b/>
          <w:iCs/>
          <w:sz w:val="24"/>
        </w:rPr>
        <w:t>IZGRADNJA KOMUNALNE INFRASTRUKTURE:</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PROGRAM 1704 JAVNE ZELENE POVRŠINE:</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K440003 JAVNI SPORTSKI I REKREACIJSKI PROSTORI:</w:t>
      </w:r>
    </w:p>
    <w:p>
      <w:pPr>
        <w:autoSpaceDE w:val="0"/>
        <w:autoSpaceDN w:val="0"/>
        <w:adjustRightInd w:val="0"/>
        <w:spacing w:after="0" w:line="240" w:lineRule="auto"/>
        <w:rPr>
          <w:rFonts w:ascii="Arial" w:hAnsi="Arial" w:cs="Arial"/>
          <w:iCs/>
          <w:sz w:val="24"/>
        </w:rPr>
      </w:pPr>
      <w:r>
        <w:rPr>
          <w:rFonts w:ascii="Arial" w:hAnsi="Arial" w:cs="Arial"/>
          <w:iCs/>
          <w:sz w:val="24"/>
        </w:rPr>
        <w:t xml:space="preserve">U okviru ovog projekta planirani su rashodi za izgradnju i opremanje nogometnog igrališta u Lukinić Brdu i </w:t>
      </w:r>
      <w:proofErr w:type="spellStart"/>
      <w:r>
        <w:rPr>
          <w:rFonts w:ascii="Arial" w:hAnsi="Arial" w:cs="Arial"/>
          <w:iCs/>
          <w:sz w:val="24"/>
        </w:rPr>
        <w:t>Hotnji</w:t>
      </w:r>
      <w:proofErr w:type="spellEnd"/>
      <w:r>
        <w:rPr>
          <w:rFonts w:ascii="Arial" w:hAnsi="Arial" w:cs="Arial"/>
          <w:iCs/>
          <w:sz w:val="24"/>
        </w:rPr>
        <w:t xml:space="preserve"> i postavljanje svjetiljki na nogometnom igralištu Jagodići – </w:t>
      </w:r>
      <w:proofErr w:type="spellStart"/>
      <w:r>
        <w:rPr>
          <w:rFonts w:ascii="Arial" w:hAnsi="Arial" w:cs="Arial"/>
          <w:iCs/>
          <w:sz w:val="24"/>
        </w:rPr>
        <w:t>Stepanci</w:t>
      </w:r>
      <w:proofErr w:type="spellEnd"/>
      <w:r>
        <w:rPr>
          <w:rFonts w:ascii="Arial" w:hAnsi="Arial" w:cs="Arial"/>
          <w:iCs/>
          <w:sz w:val="24"/>
        </w:rPr>
        <w:t>.</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PROGRAM 1705 GRAĐEVINE I UREĐAJI JAVNE NAMJENE</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K550003 SPOMENICI I SKULPTURE:</w:t>
      </w:r>
    </w:p>
    <w:p>
      <w:pPr>
        <w:autoSpaceDE w:val="0"/>
        <w:autoSpaceDN w:val="0"/>
        <w:adjustRightInd w:val="0"/>
        <w:spacing w:after="0" w:line="240" w:lineRule="auto"/>
        <w:rPr>
          <w:rFonts w:ascii="Arial" w:hAnsi="Arial" w:cs="Arial"/>
          <w:iCs/>
          <w:sz w:val="24"/>
        </w:rPr>
      </w:pPr>
      <w:r>
        <w:rPr>
          <w:rFonts w:ascii="Arial" w:hAnsi="Arial" w:cs="Arial"/>
          <w:iCs/>
          <w:sz w:val="24"/>
        </w:rPr>
        <w:t>U okviru ovog projekta planirani su rashodi za izgradnju spomenika.</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PROGRAM 1706 JAVNA RASVJETA</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K660001 JAVNA RASVJETA:</w:t>
      </w:r>
    </w:p>
    <w:p>
      <w:pPr>
        <w:autoSpaceDE w:val="0"/>
        <w:autoSpaceDN w:val="0"/>
        <w:adjustRightInd w:val="0"/>
        <w:spacing w:after="0" w:line="240" w:lineRule="auto"/>
        <w:rPr>
          <w:rFonts w:ascii="Arial" w:hAnsi="Arial" w:cs="Arial"/>
          <w:iCs/>
          <w:sz w:val="24"/>
        </w:rPr>
      </w:pPr>
      <w:r>
        <w:rPr>
          <w:rFonts w:ascii="Arial" w:hAnsi="Arial" w:cs="Arial"/>
          <w:iCs/>
          <w:sz w:val="24"/>
        </w:rPr>
        <w:t>U okviru ovog projekta planira se n</w:t>
      </w:r>
      <w:bookmarkStart w:id="0" w:name="_GoBack"/>
      <w:bookmarkEnd w:id="0"/>
      <w:r>
        <w:rPr>
          <w:rFonts w:ascii="Arial" w:hAnsi="Arial" w:cs="Arial"/>
          <w:iCs/>
          <w:sz w:val="24"/>
        </w:rPr>
        <w:t>ajam LED rasvjetnih tijela kako bi se zamijenila energetski neučinkovita rasvjetna tijela i smanjio trošak električne energije.</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PROGRAM 1707 GROBLJA (POGREBNI CENTRI)</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K770001 GROBLJE POKUPSKO:</w:t>
      </w:r>
    </w:p>
    <w:p>
      <w:pPr>
        <w:autoSpaceDE w:val="0"/>
        <w:autoSpaceDN w:val="0"/>
        <w:adjustRightInd w:val="0"/>
        <w:spacing w:after="0" w:line="240" w:lineRule="auto"/>
        <w:rPr>
          <w:rFonts w:ascii="Arial" w:hAnsi="Arial" w:cs="Arial"/>
          <w:iCs/>
          <w:sz w:val="24"/>
        </w:rPr>
      </w:pPr>
      <w:r>
        <w:rPr>
          <w:rFonts w:ascii="Arial" w:hAnsi="Arial" w:cs="Arial"/>
          <w:iCs/>
          <w:sz w:val="24"/>
        </w:rPr>
        <w:t>U okviru ovog projekta planirani su rashodi za 2.fazu radova (izgradnja staza) na groblju u Pokupskom</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K770002 GROBLJE LUKINIĆ BRDO:</w:t>
      </w:r>
    </w:p>
    <w:p>
      <w:pPr>
        <w:autoSpaceDE w:val="0"/>
        <w:autoSpaceDN w:val="0"/>
        <w:adjustRightInd w:val="0"/>
        <w:spacing w:after="0" w:line="240" w:lineRule="auto"/>
        <w:rPr>
          <w:rFonts w:ascii="Arial" w:hAnsi="Arial" w:cs="Arial"/>
          <w:iCs/>
          <w:sz w:val="24"/>
        </w:rPr>
      </w:pPr>
      <w:r>
        <w:rPr>
          <w:rFonts w:ascii="Arial" w:hAnsi="Arial" w:cs="Arial"/>
          <w:iCs/>
          <w:sz w:val="24"/>
        </w:rPr>
        <w:t>U okviru ovog projekta planirani su rashodi za rješavanje imovinsko-pravnih odnosa, izradu elaborata, te rashodi za doprinose i pristojbe.</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K770003 GROBLJE LIJEVI ŠTEFANKI:</w:t>
      </w:r>
    </w:p>
    <w:p>
      <w:pPr>
        <w:autoSpaceDE w:val="0"/>
        <w:autoSpaceDN w:val="0"/>
        <w:adjustRightInd w:val="0"/>
        <w:spacing w:after="0" w:line="240" w:lineRule="auto"/>
        <w:rPr>
          <w:rFonts w:ascii="Arial" w:hAnsi="Arial" w:cs="Arial"/>
          <w:iCs/>
          <w:sz w:val="24"/>
        </w:rPr>
      </w:pPr>
      <w:r>
        <w:rPr>
          <w:rFonts w:ascii="Arial" w:hAnsi="Arial" w:cs="Arial"/>
          <w:iCs/>
          <w:sz w:val="24"/>
        </w:rPr>
        <w:t>U okviru ovog projekta planirani su rashodi za otkup zemljišta.</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K770004 GROBLJE HOTNJA:</w:t>
      </w:r>
    </w:p>
    <w:p>
      <w:pPr>
        <w:autoSpaceDE w:val="0"/>
        <w:autoSpaceDN w:val="0"/>
        <w:adjustRightInd w:val="0"/>
        <w:spacing w:after="0" w:line="240" w:lineRule="auto"/>
        <w:rPr>
          <w:rFonts w:ascii="Arial" w:hAnsi="Arial" w:cs="Arial"/>
          <w:iCs/>
          <w:sz w:val="24"/>
        </w:rPr>
      </w:pPr>
      <w:r>
        <w:rPr>
          <w:rFonts w:ascii="Arial" w:hAnsi="Arial" w:cs="Arial"/>
          <w:iCs/>
          <w:sz w:val="24"/>
        </w:rPr>
        <w:t>U okviru ovog projekta planirani su rashodi za izgradnju ograde na groblju i stručni nadzor nad radovima.</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PROGRAM 1708 PROGRAM GRADNJE GRAĐEVINA ZA GOSPODARENJE OTPADOM</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K880001 ČIŠĆENJE DIVLJIH DEPONIJA:</w:t>
      </w:r>
    </w:p>
    <w:p>
      <w:pPr>
        <w:autoSpaceDE w:val="0"/>
        <w:autoSpaceDN w:val="0"/>
        <w:adjustRightInd w:val="0"/>
        <w:spacing w:after="0" w:line="240" w:lineRule="auto"/>
        <w:rPr>
          <w:rFonts w:ascii="Arial" w:hAnsi="Arial" w:cs="Arial"/>
          <w:iCs/>
          <w:sz w:val="24"/>
        </w:rPr>
      </w:pPr>
      <w:r>
        <w:rPr>
          <w:rFonts w:ascii="Arial" w:hAnsi="Arial" w:cs="Arial"/>
          <w:iCs/>
          <w:sz w:val="24"/>
        </w:rPr>
        <w:t>U okviru ovog programa planirani su rashodi za čišćenje divljih deponija.</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PROGRAM 1709 ŠUMSKE CESTE</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K990002 ŠUMSKE CESTE MARKUZI-ŠAŠE, TURKOVIĆI –MAGDIĆ, ŠESTAK BRDO-ŽUGAJI:</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projekta planirani su rashodi za rekonstrukciju traktorskog puta u ukupnom iznosu od 1.013.160,18 EUR, od toga potpora iz proračuna EU iznosi 844.264,00 EUR, a iz proračuna RH 148.987,76 EUR.</w:t>
      </w:r>
    </w:p>
    <w:p>
      <w:pPr>
        <w:autoSpaceDE w:val="0"/>
        <w:autoSpaceDN w:val="0"/>
        <w:adjustRightInd w:val="0"/>
        <w:spacing w:after="0" w:line="240" w:lineRule="auto"/>
        <w:rPr>
          <w:rFonts w:ascii="Arial" w:hAnsi="Arial" w:cs="Arial"/>
          <w:bCs/>
          <w:sz w:val="24"/>
          <w:szCs w:val="24"/>
        </w:rPr>
      </w:pPr>
    </w:p>
    <w:p>
      <w:pPr>
        <w:ind w:firstLine="708"/>
        <w:jc w:val="both"/>
        <w:rPr>
          <w:rFonts w:ascii="Arial" w:hAnsi="Arial" w:cs="Arial"/>
          <w:sz w:val="24"/>
        </w:rPr>
      </w:pPr>
      <w:r>
        <w:rPr>
          <w:rFonts w:ascii="Arial" w:hAnsi="Arial" w:cs="Arial"/>
          <w:b/>
          <w:color w:val="000000" w:themeColor="text1"/>
          <w:sz w:val="24"/>
        </w:rPr>
        <w:t>OPĆI CILJ</w:t>
      </w:r>
      <w:r>
        <w:rPr>
          <w:rFonts w:ascii="Arial" w:hAnsi="Arial" w:cs="Arial"/>
          <w:color w:val="000000" w:themeColor="text1"/>
          <w:sz w:val="24"/>
        </w:rPr>
        <w:t xml:space="preserve">: </w:t>
      </w:r>
      <w:r>
        <w:rPr>
          <w:rFonts w:ascii="Arial" w:hAnsi="Arial" w:cs="Arial"/>
          <w:sz w:val="24"/>
        </w:rPr>
        <w:t>Izgradnja komunalne infrastrukture.</w:t>
      </w:r>
    </w:p>
    <w:p>
      <w:pPr>
        <w:ind w:firstLine="708"/>
        <w:jc w:val="both"/>
        <w:rPr>
          <w:rFonts w:ascii="Arial" w:hAnsi="Arial" w:cs="Arial"/>
          <w:sz w:val="24"/>
        </w:rPr>
      </w:pPr>
      <w:r>
        <w:rPr>
          <w:rFonts w:ascii="Arial" w:hAnsi="Arial" w:cs="Arial"/>
          <w:b/>
          <w:sz w:val="24"/>
        </w:rPr>
        <w:t>POSEBNI CILJ</w:t>
      </w:r>
      <w:r>
        <w:rPr>
          <w:rFonts w:ascii="Arial" w:hAnsi="Arial" w:cs="Arial"/>
          <w:sz w:val="24"/>
        </w:rPr>
        <w:t>: Kontinuirana i kvalitetna izgradnja komunalne infrastrukture.</w:t>
      </w:r>
    </w:p>
    <w:p>
      <w:pPr>
        <w:ind w:firstLine="708"/>
        <w:jc w:val="both"/>
        <w:rPr>
          <w:rFonts w:ascii="Arial" w:hAnsi="Arial" w:cs="Arial"/>
          <w:sz w:val="24"/>
        </w:rPr>
      </w:pPr>
      <w:r>
        <w:rPr>
          <w:rFonts w:ascii="Arial" w:hAnsi="Arial" w:cs="Arial"/>
          <w:b/>
          <w:sz w:val="24"/>
        </w:rPr>
        <w:t>POKAZATELJ USPJEŠNOSTI</w:t>
      </w:r>
      <w:r>
        <w:rPr>
          <w:rFonts w:ascii="Arial" w:hAnsi="Arial" w:cs="Arial"/>
          <w:sz w:val="24"/>
        </w:rPr>
        <w:t xml:space="preserve">: Zadovoljstvo mještana, </w:t>
      </w:r>
      <w:r>
        <w:rPr>
          <w:rFonts w:ascii="Arial" w:hAnsi="Arial" w:cs="Arial"/>
          <w:color w:val="000000" w:themeColor="text1"/>
          <w:sz w:val="24"/>
        </w:rPr>
        <w:t>podizanje kvalitete života i stanovanja.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PRORAČUNSKI KORISNIK:</w:t>
      </w: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48195 OPĆINSKA KNJIŽNICA POKUPSKO:</w:t>
      </w:r>
    </w:p>
    <w:p>
      <w:pPr>
        <w:autoSpaceDE w:val="0"/>
        <w:autoSpaceDN w:val="0"/>
        <w:adjustRightInd w:val="0"/>
        <w:spacing w:after="0" w:line="240" w:lineRule="auto"/>
        <w:rPr>
          <w:rFonts w:ascii="Arial" w:hAnsi="Arial" w:cs="Arial"/>
          <w:bCs/>
          <w:sz w:val="24"/>
          <w:szCs w:val="24"/>
        </w:rPr>
      </w:pPr>
    </w:p>
    <w:p>
      <w:pPr>
        <w:jc w:val="both"/>
        <w:rPr>
          <w:rFonts w:ascii="Arial" w:hAnsi="Arial" w:cs="Arial"/>
          <w:sz w:val="24"/>
          <w:szCs w:val="24"/>
        </w:rPr>
      </w:pPr>
      <w:r>
        <w:rPr>
          <w:rFonts w:ascii="Arial" w:hAnsi="Arial" w:cs="Arial"/>
          <w:sz w:val="24"/>
          <w:szCs w:val="24"/>
        </w:rPr>
        <w:t>Rashodi poslovanja za obavljanje redovne knjižničarske djelatnosti u 2023. godini planiraju se približno u visini ostvarenih rashoda za istu namjenu u 2024. i  2025. godini.</w:t>
      </w:r>
    </w:p>
    <w:p>
      <w:pPr>
        <w:pStyle w:val="Default"/>
        <w:numPr>
          <w:ilvl w:val="0"/>
          <w:numId w:val="2"/>
        </w:numPr>
        <w:jc w:val="both"/>
        <w:rPr>
          <w:rFonts w:ascii="Arial" w:hAnsi="Arial" w:cs="Arial"/>
        </w:rPr>
      </w:pPr>
      <w:r>
        <w:rPr>
          <w:rFonts w:ascii="Arial" w:hAnsi="Arial" w:cs="Arial"/>
        </w:rPr>
        <w:t>Rashodi za zaposlene planirani su u povećanom iznosu u skladu s preporučenim i očekivanim postotkom povećanja prema povećanju plaće po godinama staža.</w:t>
      </w:r>
    </w:p>
    <w:p>
      <w:pPr>
        <w:pStyle w:val="Default"/>
        <w:jc w:val="both"/>
        <w:rPr>
          <w:rFonts w:ascii="Arial" w:hAnsi="Arial" w:cs="Arial"/>
        </w:rPr>
      </w:pPr>
      <w:r>
        <w:rPr>
          <w:rFonts w:ascii="Arial" w:hAnsi="Arial" w:cs="Arial"/>
        </w:rPr>
        <w:t>Troškovi rashoda za zaposlene planiraju se kao i do sada podmiriti od prihoda ostvarenih iz  sredstva Općinskog proračuna.</w:t>
      </w:r>
    </w:p>
    <w:p>
      <w:pPr>
        <w:pStyle w:val="Default"/>
        <w:numPr>
          <w:ilvl w:val="0"/>
          <w:numId w:val="2"/>
        </w:numPr>
        <w:jc w:val="both"/>
        <w:rPr>
          <w:rFonts w:ascii="Arial" w:hAnsi="Arial" w:cs="Arial"/>
        </w:rPr>
      </w:pPr>
      <w:r>
        <w:rPr>
          <w:rFonts w:ascii="Arial" w:hAnsi="Arial" w:cs="Arial"/>
        </w:rPr>
        <w:t xml:space="preserve">Materijalni rashodi planiraju se u približno jednakom iznosu u skladu s preporukama uštede u troškovima za redovito poslovanje knjižnice. </w:t>
      </w:r>
    </w:p>
    <w:p>
      <w:pPr>
        <w:pStyle w:val="Default"/>
        <w:jc w:val="both"/>
        <w:rPr>
          <w:rFonts w:ascii="Arial" w:hAnsi="Arial" w:cs="Arial"/>
        </w:rPr>
      </w:pPr>
      <w:r>
        <w:rPr>
          <w:rFonts w:ascii="Arial" w:hAnsi="Arial" w:cs="Arial"/>
        </w:rPr>
        <w:t xml:space="preserve">Za materijalne rashode nastale u obavljanju redovne djelatnosti sredstva će se osigurati najvećim dijelom iz proračunskih sredstava. </w:t>
      </w:r>
    </w:p>
    <w:p>
      <w:pPr>
        <w:pStyle w:val="Default"/>
        <w:jc w:val="both"/>
        <w:rPr>
          <w:rFonts w:ascii="Arial" w:hAnsi="Arial" w:cs="Arial"/>
        </w:rPr>
      </w:pPr>
      <w:r>
        <w:rPr>
          <w:rFonts w:ascii="Arial" w:hAnsi="Arial" w:cs="Arial"/>
        </w:rPr>
        <w:t xml:space="preserve">Sredstvima iz Proračuna namijenjenim za materijalne rashode podmirit će se dijelom troškovi naknade troškova zaposlenicima, uredskog materijala, materijal i dijelovi za tekuće i investicijsko održavanje, usluge telefona i interneta, usluge tekućeg i investicijskog održavanja, bankarske usluge,  te održavanje programske podrške ZAKI, informatičke firme </w:t>
      </w:r>
      <w:proofErr w:type="spellStart"/>
      <w:r>
        <w:rPr>
          <w:rFonts w:ascii="Arial" w:hAnsi="Arial" w:cs="Arial"/>
        </w:rPr>
        <w:t>VIVA@info</w:t>
      </w:r>
      <w:proofErr w:type="spellEnd"/>
      <w:r>
        <w:rPr>
          <w:rFonts w:ascii="Arial" w:hAnsi="Arial" w:cs="Arial"/>
        </w:rPr>
        <w:t xml:space="preserve"> i Knjižnica grada Zagreba u čijem programskom sastavu je od 2002. godine i naša knjižnica. </w:t>
      </w:r>
    </w:p>
    <w:p>
      <w:pPr>
        <w:jc w:val="both"/>
        <w:rPr>
          <w:rFonts w:ascii="Arial" w:hAnsi="Arial" w:cs="Arial"/>
          <w:b/>
          <w:sz w:val="24"/>
          <w:szCs w:val="24"/>
        </w:rPr>
      </w:pPr>
    </w:p>
    <w:p>
      <w:pPr>
        <w:ind w:firstLine="360"/>
        <w:jc w:val="both"/>
        <w:rPr>
          <w:rFonts w:ascii="Times New Roman" w:hAnsi="Times New Roman" w:cs="Times New Roman"/>
          <w:sz w:val="24"/>
          <w:szCs w:val="24"/>
        </w:rPr>
      </w:pPr>
      <w:r>
        <w:rPr>
          <w:rStyle w:val="Zadanifontodlomka"/>
          <w:rFonts w:ascii="Arial" w:hAnsi="Arial" w:cs="Arial"/>
          <w:sz w:val="24"/>
          <w:szCs w:val="24"/>
        </w:rPr>
        <w:t xml:space="preserve">Osim troškova za redovito poslovanje knjižnice i u 2023. godini izdvojit će se sredstva za </w:t>
      </w:r>
      <w:r>
        <w:rPr>
          <w:rStyle w:val="Zadanifontodlomka"/>
          <w:rFonts w:ascii="Arial" w:hAnsi="Arial" w:cs="Arial"/>
          <w:b/>
          <w:bCs/>
          <w:sz w:val="24"/>
          <w:szCs w:val="24"/>
        </w:rPr>
        <w:t xml:space="preserve">nabavku knjižne i </w:t>
      </w:r>
      <w:proofErr w:type="spellStart"/>
      <w:r>
        <w:rPr>
          <w:rStyle w:val="Zadanifontodlomka"/>
          <w:rFonts w:ascii="Arial" w:hAnsi="Arial" w:cs="Arial"/>
          <w:b/>
          <w:bCs/>
          <w:sz w:val="24"/>
          <w:szCs w:val="24"/>
        </w:rPr>
        <w:t>neknjižne</w:t>
      </w:r>
      <w:proofErr w:type="spellEnd"/>
      <w:r>
        <w:rPr>
          <w:rStyle w:val="Zadanifontodlomka"/>
          <w:rFonts w:ascii="Arial" w:hAnsi="Arial" w:cs="Arial"/>
          <w:b/>
          <w:bCs/>
          <w:sz w:val="24"/>
          <w:szCs w:val="24"/>
        </w:rPr>
        <w:t xml:space="preserve"> građe </w:t>
      </w:r>
      <w:r>
        <w:rPr>
          <w:rStyle w:val="Zadanifontodlomka"/>
          <w:rFonts w:ascii="Arial" w:hAnsi="Arial" w:cs="Arial"/>
          <w:sz w:val="24"/>
          <w:szCs w:val="24"/>
        </w:rPr>
        <w:t>kao preduvjet osnovne djelatnosti knjižnice (posudba građe).</w:t>
      </w:r>
    </w:p>
    <w:p>
      <w:pPr>
        <w:jc w:val="both"/>
        <w:rPr>
          <w:sz w:val="24"/>
          <w:szCs w:val="24"/>
        </w:rPr>
      </w:pPr>
      <w:r>
        <w:rPr>
          <w:rFonts w:ascii="Arial" w:hAnsi="Arial" w:cs="Arial"/>
          <w:sz w:val="24"/>
          <w:szCs w:val="24"/>
        </w:rPr>
        <w:t xml:space="preserve">Za tu svrhu, kao i svake godine, osigurat će se sredstva od strane Ministarstva kulture RH i  Zagrebačke županije. </w:t>
      </w:r>
      <w:r>
        <w:rPr>
          <w:rStyle w:val="Zadanifontodlomka"/>
          <w:rFonts w:ascii="Arial" w:hAnsi="Arial" w:cs="Arial"/>
          <w:sz w:val="24"/>
          <w:szCs w:val="24"/>
        </w:rPr>
        <w:t xml:space="preserve">Redovita nabava knjižnične građe preduvjet je normalnog rada knjižnice i ostvarivanje cilja djelatnosti u skladu sa Zakonom o knjižnicama, Standardima za narodne knjižnice RH i Statutom knjižnice. Iako se prijedlogom sufinanciranja vodilo računa o smanjenim mogućnostima Proračuna trebalo bi pronaći mogućnost povećanja sredstava za ovu namjenu. </w:t>
      </w:r>
    </w:p>
    <w:p>
      <w:pPr>
        <w:pStyle w:val="Default"/>
        <w:jc w:val="both"/>
        <w:rPr>
          <w:rFonts w:ascii="Arial" w:hAnsi="Arial" w:cs="Arial"/>
        </w:rPr>
      </w:pPr>
      <w:r>
        <w:rPr>
          <w:rFonts w:ascii="Arial" w:hAnsi="Arial" w:cs="Arial"/>
        </w:rPr>
        <w:t xml:space="preserve">Prilikom izrade plana nabave vodilo se računa o trenutnom stanju knjižnog fonda, kao i potrebama i zahtjevima korisnika knjižnice, kriterijima predviđenim Standardima za narodne knjižnice RH kao i mogućnostima Proračuna u skladu s uputama. </w:t>
      </w:r>
    </w:p>
    <w:p>
      <w:pPr>
        <w:jc w:val="both"/>
        <w:rPr>
          <w:rFonts w:ascii="Arial" w:hAnsi="Arial" w:cs="Arial"/>
          <w:sz w:val="24"/>
          <w:szCs w:val="24"/>
        </w:rPr>
      </w:pPr>
      <w:r>
        <w:rPr>
          <w:rFonts w:ascii="Arial" w:hAnsi="Arial" w:cs="Arial"/>
          <w:sz w:val="24"/>
          <w:szCs w:val="24"/>
        </w:rPr>
        <w:t xml:space="preserve">Projekcija troškova za nabavu knjižnične građe u periodu 2023. do 2025. neznatno se povećavaju skladu s trenutnom financijskom situacijom osnivača Općine Pokupsko i Ministarstva kulture RH. </w:t>
      </w:r>
    </w:p>
    <w:p>
      <w:pPr>
        <w:ind w:firstLine="708"/>
        <w:jc w:val="both"/>
        <w:rPr>
          <w:rFonts w:ascii="Arial" w:hAnsi="Arial" w:cs="Arial"/>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sz w:val="24"/>
          <w:szCs w:val="24"/>
        </w:rPr>
        <w:t>Opremanje informatičkom opremom knjižnica postaje mjesto modernog pružanja informacija i mogućnosti kojima korisnici knjižnice mogu zadovoljiti suvremene potrebe korištenja mrežnim izvorima i internetskim sadržajima. Pristupom programskoj podršci ZAKI Knjižnica grada Zagreba uz potrebnu opremu osigurala je računalnu obradu građe, kao i sve poslove na upisu i posudbi građe što doprinosi kontroli posuđene i redovitosti vraćanja knjižne građe. Svakodnevno korištenje računala, pogotovo onih koji su u knjižnici namijenjeni korisnicima, zahtijeva obnovu opreme, koja se planira u projekcijama</w:t>
      </w:r>
    </w:p>
    <w:p>
      <w:pPr>
        <w:autoSpaceDE w:val="0"/>
        <w:autoSpaceDN w:val="0"/>
        <w:adjustRightInd w:val="0"/>
        <w:spacing w:after="0" w:line="240" w:lineRule="auto"/>
        <w:rPr>
          <w:rFonts w:ascii="Arial" w:hAnsi="Arial" w:cs="Arial"/>
          <w:b/>
          <w:bCs/>
          <w:sz w:val="24"/>
          <w:szCs w:val="24"/>
        </w:rPr>
      </w:pPr>
    </w:p>
    <w:p>
      <w:pPr>
        <w:spacing w:after="0" w:line="276" w:lineRule="auto"/>
        <w:ind w:firstLine="360"/>
        <w:jc w:val="both"/>
        <w:rPr>
          <w:rFonts w:ascii="Arial" w:eastAsia="Times New Roman" w:hAnsi="Arial" w:cs="Arial"/>
          <w:sz w:val="24"/>
          <w:szCs w:val="24"/>
          <w:lang w:eastAsia="ar-SA"/>
        </w:rPr>
      </w:pPr>
      <w:r>
        <w:rPr>
          <w:rFonts w:ascii="Arial" w:eastAsia="Times New Roman" w:hAnsi="Arial" w:cs="Arial"/>
          <w:b/>
          <w:color w:val="000000" w:themeColor="text1"/>
          <w:sz w:val="24"/>
          <w:szCs w:val="24"/>
          <w:lang w:eastAsia="ar-SA"/>
        </w:rPr>
        <w:t>OPĆI CILJ</w:t>
      </w:r>
      <w:r>
        <w:rPr>
          <w:rFonts w:ascii="Arial" w:eastAsia="Times New Roman" w:hAnsi="Arial" w:cs="Arial"/>
          <w:color w:val="000000" w:themeColor="text1"/>
          <w:sz w:val="24"/>
          <w:szCs w:val="24"/>
          <w:lang w:eastAsia="ar-SA"/>
        </w:rPr>
        <w:t xml:space="preserve">: </w:t>
      </w:r>
      <w:r>
        <w:rPr>
          <w:rFonts w:ascii="Arial" w:eastAsia="Times New Roman" w:hAnsi="Arial" w:cs="Arial"/>
          <w:sz w:val="24"/>
          <w:szCs w:val="24"/>
          <w:lang w:eastAsia="ar-SA"/>
        </w:rPr>
        <w:t>Osiguranje višeg stupnja i standarda obrazovanja.</w:t>
      </w:r>
    </w:p>
    <w:p>
      <w:pPr>
        <w:suppressAutoHyphens/>
        <w:spacing w:after="0" w:line="240" w:lineRule="auto"/>
        <w:ind w:firstLine="360"/>
        <w:jc w:val="both"/>
        <w:rPr>
          <w:rFonts w:ascii="Arial" w:eastAsia="Times New Roman" w:hAnsi="Arial" w:cs="Arial"/>
          <w:sz w:val="24"/>
          <w:szCs w:val="24"/>
          <w:lang w:eastAsia="ar-SA"/>
        </w:rPr>
      </w:pPr>
      <w:r>
        <w:rPr>
          <w:rFonts w:ascii="Arial" w:eastAsia="Times New Roman" w:hAnsi="Arial" w:cs="Arial"/>
          <w:b/>
          <w:sz w:val="24"/>
          <w:szCs w:val="24"/>
          <w:lang w:eastAsia="ar-SA"/>
        </w:rPr>
        <w:t>POSEBNI CILJ:</w:t>
      </w:r>
      <w:r>
        <w:rPr>
          <w:rFonts w:ascii="Arial" w:eastAsia="Times New Roman" w:hAnsi="Arial" w:cs="Arial"/>
          <w:sz w:val="24"/>
          <w:szCs w:val="24"/>
          <w:lang w:eastAsia="ar-SA"/>
        </w:rPr>
        <w:t xml:space="preserve"> Unapređenje kulturnog i društvenog života.</w:t>
      </w:r>
    </w:p>
    <w:p>
      <w:pPr>
        <w:autoSpaceDE w:val="0"/>
        <w:autoSpaceDN w:val="0"/>
        <w:adjustRightInd w:val="0"/>
        <w:spacing w:after="0" w:line="240" w:lineRule="auto"/>
        <w:ind w:firstLine="360"/>
        <w:rPr>
          <w:rFonts w:ascii="Arial" w:hAnsi="Arial" w:cs="Arial"/>
          <w:bCs/>
          <w:sz w:val="24"/>
          <w:szCs w:val="24"/>
        </w:rPr>
      </w:pPr>
      <w:r>
        <w:rPr>
          <w:rFonts w:ascii="Arial" w:eastAsia="Times New Roman" w:hAnsi="Arial" w:cs="Arial"/>
          <w:b/>
          <w:sz w:val="24"/>
          <w:szCs w:val="24"/>
          <w:lang w:eastAsia="ar-SA"/>
        </w:rPr>
        <w:t>POKAZATELJ USPJEŠNOSTI</w:t>
      </w:r>
      <w:r>
        <w:rPr>
          <w:rFonts w:ascii="Arial" w:eastAsia="Times New Roman" w:hAnsi="Arial" w:cs="Arial"/>
          <w:sz w:val="24"/>
          <w:szCs w:val="24"/>
          <w:lang w:eastAsia="ar-SA"/>
        </w:rPr>
        <w:t>: Učlanjeni novi članovi, povećanje broja korisnika usluge Knjižnice, povećanje knjižnoga fonda.</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47C"/>
    <w:multiLevelType w:val="multilevel"/>
    <w:tmpl w:val="F7FC2BEC"/>
    <w:lvl w:ilvl="0">
      <w:numFmt w:val="bullet"/>
      <w:lvlText w:val=""/>
      <w:lvlJc w:val="left"/>
      <w:pPr>
        <w:ind w:left="720" w:hanging="360"/>
      </w:pPr>
      <w:rPr>
        <w:rFonts w:ascii="Wingdings" w:hAnsi="Wingdings"/>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12B1C67"/>
    <w:multiLevelType w:val="multilevel"/>
    <w:tmpl w:val="AE428EE8"/>
    <w:lvl w:ilvl="0">
      <w:start w:val="1"/>
      <w:numFmt w:val="decimal"/>
      <w:lvlText w:val="%1."/>
      <w:lvlJc w:val="left"/>
      <w:pPr>
        <w:ind w:left="585" w:hanging="585"/>
      </w:pPr>
      <w:rPr>
        <w:rFonts w:hint="default"/>
        <w:sz w:val="24"/>
      </w:rPr>
    </w:lvl>
    <w:lvl w:ilvl="1">
      <w:start w:val="1"/>
      <w:numFmt w:val="decimal"/>
      <w:lvlText w:val="%1.%2."/>
      <w:lvlJc w:val="left"/>
      <w:pPr>
        <w:ind w:left="585" w:hanging="58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992F1-18FB-41E4-A2E4-0A6EA861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style>
  <w:style w:type="paragraph" w:styleId="ListParagraph">
    <w:name w:val="List Paragraph"/>
    <w:basedOn w:val="Normal"/>
    <w:uiPriority w:val="34"/>
    <w:qFormat/>
    <w:pPr>
      <w:ind w:left="720"/>
      <w:contextualSpacing/>
    </w:pPr>
  </w:style>
  <w:style w:type="paragraph" w:customStyle="1" w:styleId="Default">
    <w:name w:val="Default"/>
    <w:pPr>
      <w:suppressAutoHyphens/>
      <w:autoSpaceDE w:val="0"/>
      <w:autoSpaceDN w:val="0"/>
      <w:spacing w:after="0" w:line="240" w:lineRule="auto"/>
    </w:pPr>
    <w:rPr>
      <w:rFonts w:ascii="Calibri" w:eastAsia="Calibri" w:hAnsi="Calibri" w:cs="Calibri"/>
      <w:color w:val="000000"/>
      <w:sz w:val="24"/>
      <w:szCs w:val="24"/>
      <w:lang w:eastAsia="hr-HR"/>
    </w:rPr>
  </w:style>
  <w:style w:type="character" w:customStyle="1" w:styleId="Zadanifontodlomka">
    <w:name w:val="Zadani font odlomk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93772">
      <w:bodyDiv w:val="1"/>
      <w:marLeft w:val="0"/>
      <w:marRight w:val="0"/>
      <w:marTop w:val="0"/>
      <w:marBottom w:val="0"/>
      <w:divBdr>
        <w:top w:val="none" w:sz="0" w:space="0" w:color="auto"/>
        <w:left w:val="none" w:sz="0" w:space="0" w:color="auto"/>
        <w:bottom w:val="none" w:sz="0" w:space="0" w:color="auto"/>
        <w:right w:val="none" w:sz="0" w:space="0" w:color="auto"/>
      </w:divBdr>
    </w:div>
    <w:div w:id="967278186">
      <w:bodyDiv w:val="1"/>
      <w:marLeft w:val="0"/>
      <w:marRight w:val="0"/>
      <w:marTop w:val="0"/>
      <w:marBottom w:val="0"/>
      <w:divBdr>
        <w:top w:val="none" w:sz="0" w:space="0" w:color="auto"/>
        <w:left w:val="none" w:sz="0" w:space="0" w:color="auto"/>
        <w:bottom w:val="none" w:sz="0" w:space="0" w:color="auto"/>
        <w:right w:val="none" w:sz="0" w:space="0" w:color="auto"/>
      </w:divBdr>
    </w:div>
    <w:div w:id="974025683">
      <w:bodyDiv w:val="1"/>
      <w:marLeft w:val="0"/>
      <w:marRight w:val="0"/>
      <w:marTop w:val="0"/>
      <w:marBottom w:val="0"/>
      <w:divBdr>
        <w:top w:val="none" w:sz="0" w:space="0" w:color="auto"/>
        <w:left w:val="none" w:sz="0" w:space="0" w:color="auto"/>
        <w:bottom w:val="none" w:sz="0" w:space="0" w:color="auto"/>
        <w:right w:val="none" w:sz="0" w:space="0" w:color="auto"/>
      </w:divBdr>
    </w:div>
    <w:div w:id="1027366455">
      <w:bodyDiv w:val="1"/>
      <w:marLeft w:val="0"/>
      <w:marRight w:val="0"/>
      <w:marTop w:val="0"/>
      <w:marBottom w:val="0"/>
      <w:divBdr>
        <w:top w:val="none" w:sz="0" w:space="0" w:color="auto"/>
        <w:left w:val="none" w:sz="0" w:space="0" w:color="auto"/>
        <w:bottom w:val="none" w:sz="0" w:space="0" w:color="auto"/>
        <w:right w:val="none" w:sz="0" w:space="0" w:color="auto"/>
      </w:divBdr>
    </w:div>
    <w:div w:id="1214343060">
      <w:bodyDiv w:val="1"/>
      <w:marLeft w:val="0"/>
      <w:marRight w:val="0"/>
      <w:marTop w:val="0"/>
      <w:marBottom w:val="0"/>
      <w:divBdr>
        <w:top w:val="none" w:sz="0" w:space="0" w:color="auto"/>
        <w:left w:val="none" w:sz="0" w:space="0" w:color="auto"/>
        <w:bottom w:val="none" w:sz="0" w:space="0" w:color="auto"/>
        <w:right w:val="none" w:sz="0" w:space="0" w:color="auto"/>
      </w:divBdr>
    </w:div>
    <w:div w:id="1464150899">
      <w:bodyDiv w:val="1"/>
      <w:marLeft w:val="0"/>
      <w:marRight w:val="0"/>
      <w:marTop w:val="0"/>
      <w:marBottom w:val="0"/>
      <w:divBdr>
        <w:top w:val="none" w:sz="0" w:space="0" w:color="auto"/>
        <w:left w:val="none" w:sz="0" w:space="0" w:color="auto"/>
        <w:bottom w:val="none" w:sz="0" w:space="0" w:color="auto"/>
        <w:right w:val="none" w:sz="0" w:space="0" w:color="auto"/>
      </w:divBdr>
    </w:div>
    <w:div w:id="1637680230">
      <w:bodyDiv w:val="1"/>
      <w:marLeft w:val="0"/>
      <w:marRight w:val="0"/>
      <w:marTop w:val="0"/>
      <w:marBottom w:val="0"/>
      <w:divBdr>
        <w:top w:val="none" w:sz="0" w:space="0" w:color="auto"/>
        <w:left w:val="none" w:sz="0" w:space="0" w:color="auto"/>
        <w:bottom w:val="none" w:sz="0" w:space="0" w:color="auto"/>
        <w:right w:val="none" w:sz="0" w:space="0" w:color="auto"/>
      </w:divBdr>
    </w:div>
    <w:div w:id="1754276298">
      <w:bodyDiv w:val="1"/>
      <w:marLeft w:val="0"/>
      <w:marRight w:val="0"/>
      <w:marTop w:val="0"/>
      <w:marBottom w:val="0"/>
      <w:divBdr>
        <w:top w:val="none" w:sz="0" w:space="0" w:color="auto"/>
        <w:left w:val="none" w:sz="0" w:space="0" w:color="auto"/>
        <w:bottom w:val="none" w:sz="0" w:space="0" w:color="auto"/>
        <w:right w:val="none" w:sz="0" w:space="0" w:color="auto"/>
      </w:divBdr>
    </w:div>
    <w:div w:id="17987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1205</TotalTime>
  <Pages>14</Pages>
  <Words>4558</Words>
  <Characters>25982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18</cp:revision>
  <dcterms:created xsi:type="dcterms:W3CDTF">2022-11-24T08:20:00Z</dcterms:created>
  <dcterms:modified xsi:type="dcterms:W3CDTF">2022-12-16T12:23:00Z</dcterms:modified>
</cp:coreProperties>
</file>