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tblPrEx>
          <w:tblCellMar>
            <w:top w:w="0" w:type="dxa"/>
            <w:bottom w:w="0" w:type="dxa"/>
          </w:tblCellMar>
        </w:tblPrEx>
        <w:trPr>
          <w:tblCellSpacing w:w="60" w:type="dxa"/>
        </w:trPr>
        <w:tc>
          <w:tcPr>
            <w:tcW w:w="1200" w:type="pct"/>
            <w:shd w:val="clear" w:color="auto" w:fill="E7F0F9"/>
          </w:tcPr>
          <w:p>
            <w:pPr>
              <w:spacing w:after="0" w:line="240" w:lineRule="auto"/>
            </w:pPr>
            <w:bookmarkStart w:id="0" w:name="_GoBack"/>
            <w:bookmarkEnd w:id="0"/>
            <w:r>
              <w:rPr>
                <w:b/>
              </w:rPr>
              <w:t>RKP broj</w:t>
            </w:r>
          </w:p>
        </w:tc>
        <w:tc>
          <w:tcPr>
            <w:tcW w:w="0" w:type="auto"/>
            <w:shd w:val="clear" w:color="auto" w:fill="E7F0F9"/>
          </w:tcPr>
          <w:p>
            <w:pPr>
              <w:spacing w:after="0" w:line="240" w:lineRule="auto"/>
            </w:pPr>
            <w:r>
              <w:t>27087</w:t>
            </w:r>
          </w:p>
        </w:tc>
      </w:tr>
      <w:tr>
        <w:tblPrEx>
          <w:tblCellMar>
            <w:top w:w="0" w:type="dxa"/>
            <w:bottom w:w="0" w:type="dxa"/>
          </w:tblCellMar>
        </w:tblPrEx>
        <w:trPr>
          <w:tblCellSpacing w:w="60" w:type="dxa"/>
        </w:trPr>
        <w:tc>
          <w:tcPr>
            <w:tcW w:w="1200" w:type="pct"/>
            <w:shd w:val="clear" w:color="auto" w:fill="E7F0F9"/>
          </w:tcPr>
          <w:p>
            <w:pPr>
              <w:spacing w:after="0" w:line="240" w:lineRule="auto"/>
            </w:pPr>
            <w:r>
              <w:rPr>
                <w:b/>
              </w:rPr>
              <w:t>Naziv obveznika</w:t>
            </w:r>
          </w:p>
        </w:tc>
        <w:tc>
          <w:tcPr>
            <w:tcW w:w="0" w:type="auto"/>
            <w:shd w:val="clear" w:color="auto" w:fill="E7F0F9"/>
          </w:tcPr>
          <w:p>
            <w:pPr>
              <w:spacing w:after="0" w:line="240" w:lineRule="auto"/>
            </w:pPr>
            <w:r>
              <w:t>OPĆINA POKUPSKO</w:t>
            </w:r>
          </w:p>
        </w:tc>
      </w:tr>
      <w:tr>
        <w:tblPrEx>
          <w:tblCellMar>
            <w:top w:w="0" w:type="dxa"/>
            <w:bottom w:w="0" w:type="dxa"/>
          </w:tblCellMar>
        </w:tblPrEx>
        <w:trPr>
          <w:tblCellSpacing w:w="60" w:type="dxa"/>
        </w:trPr>
        <w:tc>
          <w:tcPr>
            <w:tcW w:w="1200" w:type="pct"/>
            <w:shd w:val="clear" w:color="auto" w:fill="E7F0F9"/>
          </w:tcPr>
          <w:p>
            <w:pPr>
              <w:spacing w:after="0" w:line="240" w:lineRule="auto"/>
            </w:pPr>
            <w:r>
              <w:rPr>
                <w:b/>
              </w:rPr>
              <w:t>Razina</w:t>
            </w:r>
          </w:p>
        </w:tc>
        <w:tc>
          <w:tcPr>
            <w:tcW w:w="0" w:type="auto"/>
            <w:shd w:val="clear" w:color="auto" w:fill="E7F0F9"/>
          </w:tcPr>
          <w:p>
            <w:pPr>
              <w:spacing w:after="0" w:line="240" w:lineRule="auto"/>
            </w:pPr>
            <w:r>
              <w:t>22</w:t>
            </w:r>
          </w:p>
        </w:tc>
      </w:tr>
    </w:tbl>
    <w:p>
      <w:r>
        <w:br/>
      </w:r>
    </w:p>
    <w:p>
      <w:pPr>
        <w:spacing w:line="240" w:lineRule="auto"/>
        <w:jc w:val="center"/>
      </w:pPr>
      <w:r>
        <w:rPr>
          <w:b/>
          <w:sz w:val="28"/>
        </w:rPr>
        <w:t>BILJEŠKE UZ FINANCIJSKE IZVJEŠTAJE</w:t>
      </w:r>
    </w:p>
    <w:p>
      <w:pPr>
        <w:spacing w:line="240" w:lineRule="auto"/>
        <w:jc w:val="center"/>
      </w:pPr>
      <w:r>
        <w:rPr>
          <w:b/>
          <w:sz w:val="28"/>
        </w:rPr>
        <w:t>ZA RAZDOBLJE</w:t>
      </w:r>
    </w:p>
    <w:p>
      <w:pPr>
        <w:spacing w:line="240" w:lineRule="auto"/>
        <w:jc w:val="center"/>
      </w:pPr>
      <w:r>
        <w:rPr>
          <w:b/>
          <w:sz w:val="28"/>
        </w:rPr>
        <w:t>I - XII 2025.</w:t>
      </w:r>
    </w:p>
    <w:p/>
    <w:p>
      <w:pPr>
        <w:keepNext/>
        <w:spacing w:line="240" w:lineRule="auto"/>
        <w:jc w:val="center"/>
      </w:pPr>
      <w:r>
        <w:rPr>
          <w:b/>
          <w:sz w:val="28"/>
        </w:rPr>
        <w:t>Izvještaj o prihodima i rashodima, primicima i izdacima</w:t>
      </w:r>
    </w:p>
    <w:p>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tblPrEx>
          <w:tblCellMar>
            <w:top w:w="0" w:type="dxa"/>
            <w:bottom w:w="0" w:type="dxa"/>
          </w:tblCellMar>
        </w:tblPrEx>
        <w:trPr>
          <w:cantSplit/>
        </w:trPr>
        <w:tc>
          <w:tcPr>
            <w:tcW w:w="700" w:type="dxa"/>
            <w:shd w:val="clear" w:color="auto" w:fill="E7F0F9"/>
            <w:tcMar>
              <w:top w:w="0" w:type="dxa"/>
              <w:bottom w:w="0" w:type="dxa"/>
            </w:tcMar>
            <w:vAlign w:val="center"/>
          </w:tcPr>
          <w:p>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pPr>
              <w:keepNext/>
              <w:keepLines/>
              <w:spacing w:after="0" w:line="240" w:lineRule="auto"/>
              <w:jc w:val="center"/>
            </w:pPr>
            <w:r>
              <w:rPr>
                <w:b/>
                <w:sz w:val="18"/>
              </w:rPr>
              <w:t>Indeks (%)</w:t>
            </w:r>
          </w:p>
        </w:tc>
      </w:tr>
      <w:tr>
        <w:tblPrEx>
          <w:tblCellMar>
            <w:top w:w="0" w:type="dxa"/>
            <w:bottom w:w="0" w:type="dxa"/>
          </w:tblCellMar>
        </w:tblPrEx>
        <w:trPr>
          <w:cantSplit/>
          <w:trHeight w:val="560"/>
        </w:trPr>
        <w:tc>
          <w:tcPr>
            <w:tcW w:w="700" w:type="dxa"/>
            <w:tcMar>
              <w:top w:w="0" w:type="dxa"/>
              <w:bottom w:w="0" w:type="dxa"/>
            </w:tcMar>
            <w:vAlign w:val="center"/>
          </w:tcPr>
          <w:p>
            <w:pPr>
              <w:keepNext/>
              <w:keepLines/>
              <w:spacing w:after="0" w:line="240" w:lineRule="auto"/>
            </w:pPr>
            <w:r>
              <w:rPr>
                <w:sz w:val="18"/>
              </w:rPr>
              <w:t>6</w:t>
            </w:r>
          </w:p>
        </w:tc>
        <w:tc>
          <w:tcPr>
            <w:tcW w:w="3180" w:type="dxa"/>
            <w:tcMar>
              <w:top w:w="0" w:type="dxa"/>
              <w:bottom w:w="0" w:type="dxa"/>
            </w:tcMar>
            <w:vAlign w:val="center"/>
          </w:tcPr>
          <w:p>
            <w:pPr>
              <w:keepNext/>
              <w:keepLines/>
              <w:spacing w:after="0" w:line="240" w:lineRule="auto"/>
            </w:pPr>
            <w:r>
              <w:rPr>
                <w:sz w:val="18"/>
              </w:rPr>
              <w:t>PRIHODI POSLOVANJA (šifre 61+62+63+64+65+66+67+68)</w:t>
            </w:r>
          </w:p>
        </w:tc>
        <w:tc>
          <w:tcPr>
            <w:tcW w:w="700" w:type="dxa"/>
            <w:tcMar>
              <w:top w:w="0" w:type="dxa"/>
              <w:bottom w:w="0" w:type="dxa"/>
            </w:tcMar>
            <w:vAlign w:val="center"/>
          </w:tcPr>
          <w:p>
            <w:pPr>
              <w:keepNext/>
              <w:keepLines/>
              <w:spacing w:after="0" w:line="240" w:lineRule="auto"/>
            </w:pPr>
            <w:r>
              <w:rPr>
                <w:sz w:val="18"/>
              </w:rPr>
              <w:t>6</w:t>
            </w:r>
          </w:p>
        </w:tc>
        <w:tc>
          <w:tcPr>
            <w:tcW w:w="1860" w:type="dxa"/>
            <w:tcMar>
              <w:top w:w="0" w:type="dxa"/>
              <w:bottom w:w="0" w:type="dxa"/>
            </w:tcMar>
            <w:vAlign w:val="center"/>
          </w:tcPr>
          <w:p>
            <w:pPr>
              <w:keepNext/>
              <w:keepLines/>
              <w:spacing w:after="0" w:line="240" w:lineRule="auto"/>
              <w:jc w:val="right"/>
            </w:pPr>
            <w:r>
              <w:rPr>
                <w:sz w:val="18"/>
              </w:rPr>
              <w:t>2.575.429,14</w:t>
            </w:r>
          </w:p>
        </w:tc>
        <w:tc>
          <w:tcPr>
            <w:tcW w:w="1860" w:type="dxa"/>
            <w:tcMar>
              <w:top w:w="0" w:type="dxa"/>
              <w:bottom w:w="0" w:type="dxa"/>
            </w:tcMar>
            <w:vAlign w:val="center"/>
          </w:tcPr>
          <w:p>
            <w:pPr>
              <w:keepNext/>
              <w:keepLines/>
              <w:spacing w:after="0" w:line="240" w:lineRule="auto"/>
              <w:jc w:val="right"/>
            </w:pPr>
            <w:r>
              <w:rPr>
                <w:sz w:val="18"/>
              </w:rPr>
              <w:t>2.355.670,58</w:t>
            </w:r>
          </w:p>
        </w:tc>
        <w:tc>
          <w:tcPr>
            <w:tcW w:w="700" w:type="dxa"/>
            <w:tcMar>
              <w:top w:w="0" w:type="dxa"/>
              <w:bottom w:w="0" w:type="dxa"/>
            </w:tcMar>
            <w:vAlign w:val="center"/>
          </w:tcPr>
          <w:p>
            <w:pPr>
              <w:keepNext/>
              <w:keepLines/>
              <w:spacing w:after="0" w:line="240" w:lineRule="auto"/>
              <w:jc w:val="right"/>
            </w:pPr>
            <w:r>
              <w:rPr>
                <w:sz w:val="18"/>
              </w:rPr>
              <w:t>91,5</w:t>
            </w:r>
          </w:p>
        </w:tc>
      </w:tr>
      <w:tr>
        <w:tblPrEx>
          <w:tblCellMar>
            <w:top w:w="0" w:type="dxa"/>
            <w:bottom w:w="0" w:type="dxa"/>
          </w:tblCellMar>
        </w:tblPrEx>
        <w:trPr>
          <w:cantSplit/>
          <w:trHeight w:val="560"/>
        </w:trPr>
        <w:tc>
          <w:tcPr>
            <w:tcW w:w="700" w:type="dxa"/>
            <w:tcMar>
              <w:top w:w="0" w:type="dxa"/>
              <w:bottom w:w="0" w:type="dxa"/>
            </w:tcMar>
            <w:vAlign w:val="center"/>
          </w:tcPr>
          <w:p>
            <w:pPr>
              <w:keepNext/>
              <w:keepLines/>
              <w:spacing w:after="0" w:line="240" w:lineRule="auto"/>
            </w:pPr>
            <w:r>
              <w:rPr>
                <w:sz w:val="18"/>
              </w:rPr>
              <w:t>3</w:t>
            </w:r>
          </w:p>
        </w:tc>
        <w:tc>
          <w:tcPr>
            <w:tcW w:w="3180" w:type="dxa"/>
            <w:tcMar>
              <w:top w:w="0" w:type="dxa"/>
              <w:bottom w:w="0" w:type="dxa"/>
            </w:tcMar>
            <w:vAlign w:val="center"/>
          </w:tcPr>
          <w:p>
            <w:pPr>
              <w:keepNext/>
              <w:keepLines/>
              <w:spacing w:after="0" w:line="240" w:lineRule="auto"/>
            </w:pPr>
            <w:r>
              <w:rPr>
                <w:sz w:val="18"/>
              </w:rPr>
              <w:t>RASHODI POSLOVANJA (šifre 31+32+34+35+36+37+38)</w:t>
            </w:r>
          </w:p>
        </w:tc>
        <w:tc>
          <w:tcPr>
            <w:tcW w:w="700" w:type="dxa"/>
            <w:tcMar>
              <w:top w:w="0" w:type="dxa"/>
              <w:bottom w:w="0" w:type="dxa"/>
            </w:tcMar>
            <w:vAlign w:val="center"/>
          </w:tcPr>
          <w:p>
            <w:pPr>
              <w:keepNext/>
              <w:keepLines/>
              <w:spacing w:after="0" w:line="240" w:lineRule="auto"/>
            </w:pPr>
            <w:r>
              <w:rPr>
                <w:sz w:val="18"/>
              </w:rPr>
              <w:t>3</w:t>
            </w:r>
          </w:p>
        </w:tc>
        <w:tc>
          <w:tcPr>
            <w:tcW w:w="1860" w:type="dxa"/>
            <w:tcMar>
              <w:top w:w="0" w:type="dxa"/>
              <w:bottom w:w="0" w:type="dxa"/>
            </w:tcMar>
            <w:vAlign w:val="center"/>
          </w:tcPr>
          <w:p>
            <w:pPr>
              <w:keepNext/>
              <w:keepLines/>
              <w:spacing w:after="0" w:line="240" w:lineRule="auto"/>
              <w:jc w:val="right"/>
            </w:pPr>
            <w:r>
              <w:rPr>
                <w:sz w:val="18"/>
              </w:rPr>
              <w:t>1.183.052,54</w:t>
            </w:r>
          </w:p>
        </w:tc>
        <w:tc>
          <w:tcPr>
            <w:tcW w:w="1860" w:type="dxa"/>
            <w:tcMar>
              <w:top w:w="0" w:type="dxa"/>
              <w:bottom w:w="0" w:type="dxa"/>
            </w:tcMar>
            <w:vAlign w:val="center"/>
          </w:tcPr>
          <w:p>
            <w:pPr>
              <w:keepNext/>
              <w:keepLines/>
              <w:spacing w:after="0" w:line="240" w:lineRule="auto"/>
              <w:jc w:val="right"/>
            </w:pPr>
            <w:r>
              <w:rPr>
                <w:sz w:val="18"/>
              </w:rPr>
              <w:t>1.443.169,25</w:t>
            </w:r>
          </w:p>
        </w:tc>
        <w:tc>
          <w:tcPr>
            <w:tcW w:w="700" w:type="dxa"/>
            <w:tcMar>
              <w:top w:w="0" w:type="dxa"/>
              <w:bottom w:w="0" w:type="dxa"/>
            </w:tcMar>
            <w:vAlign w:val="center"/>
          </w:tcPr>
          <w:p>
            <w:pPr>
              <w:keepNext/>
              <w:keepLines/>
              <w:spacing w:after="0" w:line="240" w:lineRule="auto"/>
              <w:jc w:val="right"/>
            </w:pPr>
            <w:r>
              <w:rPr>
                <w:sz w:val="18"/>
              </w:rPr>
              <w:t>122,0</w:t>
            </w:r>
          </w:p>
        </w:tc>
      </w:tr>
      <w:tr>
        <w:tblPrEx>
          <w:tblCellMar>
            <w:top w:w="0" w:type="dxa"/>
            <w:bottom w:w="0" w:type="dxa"/>
          </w:tblCellMar>
        </w:tblPrEx>
        <w:trPr>
          <w:cantSplit/>
          <w:trHeight w:val="560"/>
        </w:trPr>
        <w:tc>
          <w:tcPr>
            <w:tcW w:w="700" w:type="dxa"/>
            <w:tcMar>
              <w:top w:w="0" w:type="dxa"/>
              <w:bottom w:w="0" w:type="dxa"/>
            </w:tcMar>
            <w:vAlign w:val="center"/>
          </w:tcPr>
          <w:p>
            <w:pPr>
              <w:keepNext/>
              <w:keepLines/>
              <w:spacing w:after="0" w:line="240" w:lineRule="auto"/>
            </w:pPr>
          </w:p>
        </w:tc>
        <w:tc>
          <w:tcPr>
            <w:tcW w:w="3180" w:type="dxa"/>
            <w:tcMar>
              <w:top w:w="0" w:type="dxa"/>
              <w:bottom w:w="0" w:type="dxa"/>
            </w:tcMar>
            <w:vAlign w:val="center"/>
          </w:tcPr>
          <w:p>
            <w:pPr>
              <w:keepNext/>
              <w:keepLines/>
              <w:spacing w:after="0" w:line="240" w:lineRule="auto"/>
            </w:pPr>
            <w:r>
              <w:rPr>
                <w:b/>
                <w:sz w:val="18"/>
              </w:rPr>
              <w:t>VIŠAK PRIHODA POSLOVANJA (šifre 6-Z005)</w:t>
            </w:r>
          </w:p>
        </w:tc>
        <w:tc>
          <w:tcPr>
            <w:tcW w:w="700" w:type="dxa"/>
            <w:tcMar>
              <w:top w:w="0" w:type="dxa"/>
              <w:bottom w:w="0" w:type="dxa"/>
            </w:tcMar>
            <w:vAlign w:val="center"/>
          </w:tcPr>
          <w:p>
            <w:pPr>
              <w:keepNext/>
              <w:keepLines/>
              <w:spacing w:after="0" w:line="240" w:lineRule="auto"/>
            </w:pPr>
            <w:r>
              <w:rPr>
                <w:b/>
                <w:sz w:val="18"/>
              </w:rPr>
              <w:t>X001</w:t>
            </w:r>
          </w:p>
        </w:tc>
        <w:tc>
          <w:tcPr>
            <w:tcW w:w="1860" w:type="dxa"/>
            <w:tcMar>
              <w:top w:w="0" w:type="dxa"/>
              <w:bottom w:w="0" w:type="dxa"/>
            </w:tcMar>
            <w:vAlign w:val="center"/>
          </w:tcPr>
          <w:p>
            <w:pPr>
              <w:keepNext/>
              <w:keepLines/>
              <w:spacing w:after="0" w:line="240" w:lineRule="auto"/>
              <w:jc w:val="right"/>
            </w:pPr>
            <w:r>
              <w:rPr>
                <w:b/>
                <w:sz w:val="18"/>
              </w:rPr>
              <w:t>1.392.376,60</w:t>
            </w:r>
          </w:p>
        </w:tc>
        <w:tc>
          <w:tcPr>
            <w:tcW w:w="1860" w:type="dxa"/>
            <w:tcMar>
              <w:top w:w="0" w:type="dxa"/>
              <w:bottom w:w="0" w:type="dxa"/>
            </w:tcMar>
            <w:vAlign w:val="center"/>
          </w:tcPr>
          <w:p>
            <w:pPr>
              <w:keepNext/>
              <w:keepLines/>
              <w:spacing w:after="0" w:line="240" w:lineRule="auto"/>
              <w:jc w:val="right"/>
            </w:pPr>
            <w:r>
              <w:rPr>
                <w:b/>
                <w:sz w:val="18"/>
              </w:rPr>
              <w:t>912.501,33</w:t>
            </w:r>
          </w:p>
        </w:tc>
        <w:tc>
          <w:tcPr>
            <w:tcW w:w="700" w:type="dxa"/>
            <w:tcMar>
              <w:top w:w="0" w:type="dxa"/>
              <w:bottom w:w="0" w:type="dxa"/>
            </w:tcMar>
            <w:vAlign w:val="center"/>
          </w:tcPr>
          <w:p>
            <w:pPr>
              <w:keepNext/>
              <w:keepLines/>
              <w:spacing w:after="0" w:line="240" w:lineRule="auto"/>
              <w:jc w:val="right"/>
            </w:pPr>
            <w:r>
              <w:rPr>
                <w:b/>
                <w:sz w:val="18"/>
              </w:rPr>
              <w:t>65,5</w:t>
            </w:r>
          </w:p>
        </w:tc>
      </w:tr>
      <w:tr>
        <w:tblPrEx>
          <w:tblCellMar>
            <w:top w:w="0" w:type="dxa"/>
            <w:bottom w:w="0" w:type="dxa"/>
          </w:tblCellMar>
        </w:tblPrEx>
        <w:trPr>
          <w:cantSplit/>
          <w:trHeight w:val="560"/>
        </w:trPr>
        <w:tc>
          <w:tcPr>
            <w:tcW w:w="700" w:type="dxa"/>
            <w:tcMar>
              <w:top w:w="0" w:type="dxa"/>
              <w:bottom w:w="0" w:type="dxa"/>
            </w:tcMar>
            <w:vAlign w:val="center"/>
          </w:tcPr>
          <w:p>
            <w:pPr>
              <w:keepNext/>
              <w:keepLines/>
              <w:spacing w:after="0" w:line="240" w:lineRule="auto"/>
            </w:pPr>
            <w:r>
              <w:rPr>
                <w:sz w:val="18"/>
              </w:rPr>
              <w:t>7</w:t>
            </w:r>
          </w:p>
        </w:tc>
        <w:tc>
          <w:tcPr>
            <w:tcW w:w="3180" w:type="dxa"/>
            <w:tcMar>
              <w:top w:w="0" w:type="dxa"/>
              <w:bottom w:w="0" w:type="dxa"/>
            </w:tcMar>
            <w:vAlign w:val="center"/>
          </w:tcPr>
          <w:p>
            <w:pPr>
              <w:keepNext/>
              <w:keepLines/>
              <w:spacing w:after="0" w:line="240" w:lineRule="auto"/>
            </w:pPr>
            <w:r>
              <w:rPr>
                <w:sz w:val="18"/>
              </w:rPr>
              <w:t>Prihodi od prodaje nefinancijske imovine (šifre 71+72+73+74)</w:t>
            </w:r>
          </w:p>
        </w:tc>
        <w:tc>
          <w:tcPr>
            <w:tcW w:w="700" w:type="dxa"/>
            <w:tcMar>
              <w:top w:w="0" w:type="dxa"/>
              <w:bottom w:w="0" w:type="dxa"/>
            </w:tcMar>
            <w:vAlign w:val="center"/>
          </w:tcPr>
          <w:p>
            <w:pPr>
              <w:keepNext/>
              <w:keepLines/>
              <w:spacing w:after="0" w:line="240" w:lineRule="auto"/>
            </w:pPr>
            <w:r>
              <w:rPr>
                <w:sz w:val="18"/>
              </w:rPr>
              <w:t>7</w:t>
            </w:r>
          </w:p>
        </w:tc>
        <w:tc>
          <w:tcPr>
            <w:tcW w:w="1860" w:type="dxa"/>
            <w:tcMar>
              <w:top w:w="0" w:type="dxa"/>
              <w:bottom w:w="0" w:type="dxa"/>
            </w:tcMar>
            <w:vAlign w:val="center"/>
          </w:tcPr>
          <w:p>
            <w:pPr>
              <w:keepNext/>
              <w:keepLines/>
              <w:spacing w:after="0" w:line="240" w:lineRule="auto"/>
              <w:jc w:val="right"/>
            </w:pPr>
            <w:r>
              <w:rPr>
                <w:sz w:val="18"/>
              </w:rPr>
              <w:t>0,00</w:t>
            </w:r>
          </w:p>
        </w:tc>
        <w:tc>
          <w:tcPr>
            <w:tcW w:w="1860" w:type="dxa"/>
            <w:tcMar>
              <w:top w:w="0" w:type="dxa"/>
              <w:bottom w:w="0" w:type="dxa"/>
            </w:tcMar>
            <w:vAlign w:val="center"/>
          </w:tcPr>
          <w:p>
            <w:pPr>
              <w:keepNext/>
              <w:keepLines/>
              <w:spacing w:after="0" w:line="240" w:lineRule="auto"/>
              <w:jc w:val="right"/>
            </w:pPr>
            <w:r>
              <w:rPr>
                <w:sz w:val="18"/>
              </w:rPr>
              <w:t>0,00</w:t>
            </w:r>
          </w:p>
        </w:tc>
        <w:tc>
          <w:tcPr>
            <w:tcW w:w="700" w:type="dxa"/>
            <w:tcMar>
              <w:top w:w="0" w:type="dxa"/>
              <w:bottom w:w="0" w:type="dxa"/>
            </w:tcMar>
            <w:vAlign w:val="center"/>
          </w:tcPr>
          <w:p>
            <w:pPr>
              <w:keepNext/>
              <w:keepLines/>
              <w:spacing w:after="0" w:line="240" w:lineRule="auto"/>
              <w:jc w:val="right"/>
            </w:pPr>
            <w:r>
              <w:rPr>
                <w:sz w:val="18"/>
              </w:rPr>
              <w:t>-</w:t>
            </w:r>
          </w:p>
        </w:tc>
      </w:tr>
      <w:tr>
        <w:tblPrEx>
          <w:tblCellMar>
            <w:top w:w="0" w:type="dxa"/>
            <w:bottom w:w="0" w:type="dxa"/>
          </w:tblCellMar>
        </w:tblPrEx>
        <w:trPr>
          <w:cantSplit/>
          <w:trHeight w:val="560"/>
        </w:trPr>
        <w:tc>
          <w:tcPr>
            <w:tcW w:w="700" w:type="dxa"/>
            <w:tcMar>
              <w:top w:w="0" w:type="dxa"/>
              <w:bottom w:w="0" w:type="dxa"/>
            </w:tcMar>
            <w:vAlign w:val="center"/>
          </w:tcPr>
          <w:p>
            <w:pPr>
              <w:keepNext/>
              <w:keepLines/>
              <w:spacing w:after="0" w:line="240" w:lineRule="auto"/>
            </w:pPr>
            <w:r>
              <w:rPr>
                <w:sz w:val="18"/>
              </w:rPr>
              <w:t>4</w:t>
            </w:r>
          </w:p>
        </w:tc>
        <w:tc>
          <w:tcPr>
            <w:tcW w:w="3180" w:type="dxa"/>
            <w:tcMar>
              <w:top w:w="0" w:type="dxa"/>
              <w:bottom w:w="0" w:type="dxa"/>
            </w:tcMar>
            <w:vAlign w:val="center"/>
          </w:tcPr>
          <w:p>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pPr>
              <w:keepNext/>
              <w:keepLines/>
              <w:spacing w:after="0" w:line="240" w:lineRule="auto"/>
            </w:pPr>
            <w:r>
              <w:rPr>
                <w:sz w:val="18"/>
              </w:rPr>
              <w:t>4</w:t>
            </w:r>
          </w:p>
        </w:tc>
        <w:tc>
          <w:tcPr>
            <w:tcW w:w="1860" w:type="dxa"/>
            <w:tcMar>
              <w:top w:w="0" w:type="dxa"/>
              <w:bottom w:w="0" w:type="dxa"/>
            </w:tcMar>
            <w:vAlign w:val="center"/>
          </w:tcPr>
          <w:p>
            <w:pPr>
              <w:keepNext/>
              <w:keepLines/>
              <w:spacing w:after="0" w:line="240" w:lineRule="auto"/>
              <w:jc w:val="right"/>
            </w:pPr>
            <w:r>
              <w:rPr>
                <w:sz w:val="18"/>
              </w:rPr>
              <w:t>1.264.312,36</w:t>
            </w:r>
          </w:p>
        </w:tc>
        <w:tc>
          <w:tcPr>
            <w:tcW w:w="1860" w:type="dxa"/>
            <w:tcMar>
              <w:top w:w="0" w:type="dxa"/>
              <w:bottom w:w="0" w:type="dxa"/>
            </w:tcMar>
            <w:vAlign w:val="center"/>
          </w:tcPr>
          <w:p>
            <w:pPr>
              <w:keepNext/>
              <w:keepLines/>
              <w:spacing w:after="0" w:line="240" w:lineRule="auto"/>
              <w:jc w:val="right"/>
            </w:pPr>
            <w:r>
              <w:rPr>
                <w:sz w:val="18"/>
              </w:rPr>
              <w:t>1.182.464,66</w:t>
            </w:r>
          </w:p>
        </w:tc>
        <w:tc>
          <w:tcPr>
            <w:tcW w:w="700" w:type="dxa"/>
            <w:tcMar>
              <w:top w:w="0" w:type="dxa"/>
              <w:bottom w:w="0" w:type="dxa"/>
            </w:tcMar>
            <w:vAlign w:val="center"/>
          </w:tcPr>
          <w:p>
            <w:pPr>
              <w:keepNext/>
              <w:keepLines/>
              <w:spacing w:after="0" w:line="240" w:lineRule="auto"/>
              <w:jc w:val="right"/>
            </w:pPr>
            <w:r>
              <w:rPr>
                <w:sz w:val="18"/>
              </w:rPr>
              <w:t>93,5</w:t>
            </w:r>
          </w:p>
        </w:tc>
      </w:tr>
      <w:tr>
        <w:tblPrEx>
          <w:tblCellMar>
            <w:top w:w="0" w:type="dxa"/>
            <w:bottom w:w="0" w:type="dxa"/>
          </w:tblCellMar>
        </w:tblPrEx>
        <w:trPr>
          <w:cantSplit/>
          <w:trHeight w:val="560"/>
        </w:trPr>
        <w:tc>
          <w:tcPr>
            <w:tcW w:w="700" w:type="dxa"/>
            <w:tcMar>
              <w:top w:w="0" w:type="dxa"/>
              <w:bottom w:w="0" w:type="dxa"/>
            </w:tcMar>
            <w:vAlign w:val="center"/>
          </w:tcPr>
          <w:p>
            <w:pPr>
              <w:keepNext/>
              <w:keepLines/>
              <w:spacing w:after="0" w:line="240" w:lineRule="auto"/>
            </w:pPr>
          </w:p>
        </w:tc>
        <w:tc>
          <w:tcPr>
            <w:tcW w:w="3180" w:type="dxa"/>
            <w:tcMar>
              <w:top w:w="0" w:type="dxa"/>
              <w:bottom w:w="0" w:type="dxa"/>
            </w:tcMar>
            <w:vAlign w:val="center"/>
          </w:tcPr>
          <w:p>
            <w:pPr>
              <w:keepNext/>
              <w:keepLines/>
              <w:spacing w:after="0" w:line="240" w:lineRule="auto"/>
            </w:pPr>
            <w:r>
              <w:rPr>
                <w:b/>
                <w:sz w:val="18"/>
              </w:rPr>
              <w:t>MANJAK PRIHODA OD NEFINANCIJSKE IMOVINE (šifre 4-7)</w:t>
            </w:r>
          </w:p>
        </w:tc>
        <w:tc>
          <w:tcPr>
            <w:tcW w:w="700" w:type="dxa"/>
            <w:tcMar>
              <w:top w:w="0" w:type="dxa"/>
              <w:bottom w:w="0" w:type="dxa"/>
            </w:tcMar>
            <w:vAlign w:val="center"/>
          </w:tcPr>
          <w:p>
            <w:pPr>
              <w:keepNext/>
              <w:keepLines/>
              <w:spacing w:after="0" w:line="240" w:lineRule="auto"/>
            </w:pPr>
            <w:r>
              <w:rPr>
                <w:b/>
                <w:sz w:val="18"/>
              </w:rPr>
              <w:t>Y002</w:t>
            </w:r>
          </w:p>
        </w:tc>
        <w:tc>
          <w:tcPr>
            <w:tcW w:w="1860" w:type="dxa"/>
            <w:tcMar>
              <w:top w:w="0" w:type="dxa"/>
              <w:bottom w:w="0" w:type="dxa"/>
            </w:tcMar>
            <w:vAlign w:val="center"/>
          </w:tcPr>
          <w:p>
            <w:pPr>
              <w:keepNext/>
              <w:keepLines/>
              <w:spacing w:after="0" w:line="240" w:lineRule="auto"/>
              <w:jc w:val="right"/>
            </w:pPr>
            <w:r>
              <w:rPr>
                <w:b/>
                <w:sz w:val="18"/>
              </w:rPr>
              <w:t>1.264.312,36</w:t>
            </w:r>
          </w:p>
        </w:tc>
        <w:tc>
          <w:tcPr>
            <w:tcW w:w="1860" w:type="dxa"/>
            <w:tcMar>
              <w:top w:w="0" w:type="dxa"/>
              <w:bottom w:w="0" w:type="dxa"/>
            </w:tcMar>
            <w:vAlign w:val="center"/>
          </w:tcPr>
          <w:p>
            <w:pPr>
              <w:keepNext/>
              <w:keepLines/>
              <w:spacing w:after="0" w:line="240" w:lineRule="auto"/>
              <w:jc w:val="right"/>
            </w:pPr>
            <w:r>
              <w:rPr>
                <w:b/>
                <w:sz w:val="18"/>
              </w:rPr>
              <w:t>1.182.464,66</w:t>
            </w:r>
          </w:p>
        </w:tc>
        <w:tc>
          <w:tcPr>
            <w:tcW w:w="700" w:type="dxa"/>
            <w:tcMar>
              <w:top w:w="0" w:type="dxa"/>
              <w:bottom w:w="0" w:type="dxa"/>
            </w:tcMar>
            <w:vAlign w:val="center"/>
          </w:tcPr>
          <w:p>
            <w:pPr>
              <w:keepNext/>
              <w:keepLines/>
              <w:spacing w:after="0" w:line="240" w:lineRule="auto"/>
              <w:jc w:val="right"/>
            </w:pPr>
            <w:r>
              <w:rPr>
                <w:b/>
                <w:sz w:val="18"/>
              </w:rPr>
              <w:t>93,5</w:t>
            </w:r>
          </w:p>
        </w:tc>
      </w:tr>
      <w:tr>
        <w:tblPrEx>
          <w:tblCellMar>
            <w:top w:w="0" w:type="dxa"/>
            <w:bottom w:w="0" w:type="dxa"/>
          </w:tblCellMar>
        </w:tblPrEx>
        <w:trPr>
          <w:cantSplit/>
          <w:trHeight w:val="560"/>
        </w:trPr>
        <w:tc>
          <w:tcPr>
            <w:tcW w:w="700" w:type="dxa"/>
            <w:tcMar>
              <w:top w:w="0" w:type="dxa"/>
              <w:bottom w:w="0" w:type="dxa"/>
            </w:tcMar>
            <w:vAlign w:val="center"/>
          </w:tcPr>
          <w:p>
            <w:pPr>
              <w:keepNext/>
              <w:keepLines/>
              <w:spacing w:after="0" w:line="240" w:lineRule="auto"/>
            </w:pPr>
            <w:r>
              <w:rPr>
                <w:sz w:val="18"/>
              </w:rPr>
              <w:t>8</w:t>
            </w:r>
          </w:p>
        </w:tc>
        <w:tc>
          <w:tcPr>
            <w:tcW w:w="3180" w:type="dxa"/>
            <w:tcMar>
              <w:top w:w="0" w:type="dxa"/>
              <w:bottom w:w="0" w:type="dxa"/>
            </w:tcMar>
            <w:vAlign w:val="center"/>
          </w:tcPr>
          <w:p>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pPr>
              <w:keepNext/>
              <w:keepLines/>
              <w:spacing w:after="0" w:line="240" w:lineRule="auto"/>
            </w:pPr>
            <w:r>
              <w:rPr>
                <w:sz w:val="18"/>
              </w:rPr>
              <w:t>8</w:t>
            </w:r>
          </w:p>
        </w:tc>
        <w:tc>
          <w:tcPr>
            <w:tcW w:w="1860" w:type="dxa"/>
            <w:tcMar>
              <w:top w:w="0" w:type="dxa"/>
              <w:bottom w:w="0" w:type="dxa"/>
            </w:tcMar>
            <w:vAlign w:val="center"/>
          </w:tcPr>
          <w:p>
            <w:pPr>
              <w:keepNext/>
              <w:keepLines/>
              <w:spacing w:after="0" w:line="240" w:lineRule="auto"/>
              <w:jc w:val="right"/>
            </w:pPr>
            <w:r>
              <w:rPr>
                <w:sz w:val="18"/>
              </w:rPr>
              <w:t>0,00</w:t>
            </w:r>
          </w:p>
        </w:tc>
        <w:tc>
          <w:tcPr>
            <w:tcW w:w="1860" w:type="dxa"/>
            <w:tcMar>
              <w:top w:w="0" w:type="dxa"/>
              <w:bottom w:w="0" w:type="dxa"/>
            </w:tcMar>
            <w:vAlign w:val="center"/>
          </w:tcPr>
          <w:p>
            <w:pPr>
              <w:keepNext/>
              <w:keepLines/>
              <w:spacing w:after="0" w:line="240" w:lineRule="auto"/>
              <w:jc w:val="right"/>
            </w:pPr>
            <w:r>
              <w:rPr>
                <w:sz w:val="18"/>
              </w:rPr>
              <w:t>498.745,77</w:t>
            </w:r>
          </w:p>
        </w:tc>
        <w:tc>
          <w:tcPr>
            <w:tcW w:w="700" w:type="dxa"/>
            <w:tcMar>
              <w:top w:w="0" w:type="dxa"/>
              <w:bottom w:w="0" w:type="dxa"/>
            </w:tcMar>
            <w:vAlign w:val="center"/>
          </w:tcPr>
          <w:p>
            <w:pPr>
              <w:keepNext/>
              <w:keepLines/>
              <w:spacing w:after="0" w:line="240" w:lineRule="auto"/>
              <w:jc w:val="right"/>
            </w:pPr>
            <w:r>
              <w:rPr>
                <w:sz w:val="18"/>
              </w:rPr>
              <w:t>-</w:t>
            </w:r>
          </w:p>
        </w:tc>
      </w:tr>
      <w:tr>
        <w:tblPrEx>
          <w:tblCellMar>
            <w:top w:w="0" w:type="dxa"/>
            <w:bottom w:w="0" w:type="dxa"/>
          </w:tblCellMar>
        </w:tblPrEx>
        <w:trPr>
          <w:cantSplit/>
          <w:trHeight w:val="560"/>
        </w:trPr>
        <w:tc>
          <w:tcPr>
            <w:tcW w:w="700" w:type="dxa"/>
            <w:tcMar>
              <w:top w:w="0" w:type="dxa"/>
              <w:bottom w:w="0" w:type="dxa"/>
            </w:tcMar>
            <w:vAlign w:val="center"/>
          </w:tcPr>
          <w:p>
            <w:pPr>
              <w:keepNext/>
              <w:keepLines/>
              <w:spacing w:after="0" w:line="240" w:lineRule="auto"/>
            </w:pPr>
            <w:r>
              <w:rPr>
                <w:sz w:val="18"/>
              </w:rPr>
              <w:t>5</w:t>
            </w:r>
          </w:p>
        </w:tc>
        <w:tc>
          <w:tcPr>
            <w:tcW w:w="3180" w:type="dxa"/>
            <w:tcMar>
              <w:top w:w="0" w:type="dxa"/>
              <w:bottom w:w="0" w:type="dxa"/>
            </w:tcMar>
            <w:vAlign w:val="center"/>
          </w:tcPr>
          <w:p>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pPr>
              <w:keepNext/>
              <w:keepLines/>
              <w:spacing w:after="0" w:line="240" w:lineRule="auto"/>
            </w:pPr>
            <w:r>
              <w:rPr>
                <w:sz w:val="18"/>
              </w:rPr>
              <w:t>5</w:t>
            </w:r>
          </w:p>
        </w:tc>
        <w:tc>
          <w:tcPr>
            <w:tcW w:w="1860" w:type="dxa"/>
            <w:tcMar>
              <w:top w:w="0" w:type="dxa"/>
              <w:bottom w:w="0" w:type="dxa"/>
            </w:tcMar>
            <w:vAlign w:val="center"/>
          </w:tcPr>
          <w:p>
            <w:pPr>
              <w:keepNext/>
              <w:keepLines/>
              <w:spacing w:after="0" w:line="240" w:lineRule="auto"/>
              <w:jc w:val="right"/>
            </w:pPr>
            <w:r>
              <w:rPr>
                <w:sz w:val="18"/>
              </w:rPr>
              <w:t>19.903,24</w:t>
            </w:r>
          </w:p>
        </w:tc>
        <w:tc>
          <w:tcPr>
            <w:tcW w:w="1860" w:type="dxa"/>
            <w:tcMar>
              <w:top w:w="0" w:type="dxa"/>
              <w:bottom w:w="0" w:type="dxa"/>
            </w:tcMar>
            <w:vAlign w:val="center"/>
          </w:tcPr>
          <w:p>
            <w:pPr>
              <w:keepNext/>
              <w:keepLines/>
              <w:spacing w:after="0" w:line="240" w:lineRule="auto"/>
              <w:jc w:val="right"/>
            </w:pPr>
            <w:r>
              <w:rPr>
                <w:sz w:val="18"/>
              </w:rPr>
              <w:t>486.689,08</w:t>
            </w:r>
          </w:p>
        </w:tc>
        <w:tc>
          <w:tcPr>
            <w:tcW w:w="700" w:type="dxa"/>
            <w:tcMar>
              <w:top w:w="0" w:type="dxa"/>
              <w:bottom w:w="0" w:type="dxa"/>
            </w:tcMar>
            <w:vAlign w:val="center"/>
          </w:tcPr>
          <w:p>
            <w:pPr>
              <w:keepNext/>
              <w:keepLines/>
              <w:spacing w:after="0" w:line="240" w:lineRule="auto"/>
              <w:jc w:val="right"/>
            </w:pPr>
            <w:r>
              <w:rPr>
                <w:sz w:val="18"/>
              </w:rPr>
              <w:t>2445,3</w:t>
            </w:r>
          </w:p>
        </w:tc>
      </w:tr>
      <w:tr>
        <w:tblPrEx>
          <w:tblCellMar>
            <w:top w:w="0" w:type="dxa"/>
            <w:bottom w:w="0" w:type="dxa"/>
          </w:tblCellMar>
        </w:tblPrEx>
        <w:trPr>
          <w:cantSplit/>
          <w:trHeight w:val="560"/>
        </w:trPr>
        <w:tc>
          <w:tcPr>
            <w:tcW w:w="700" w:type="dxa"/>
            <w:tcMar>
              <w:top w:w="0" w:type="dxa"/>
              <w:bottom w:w="0" w:type="dxa"/>
            </w:tcMar>
            <w:vAlign w:val="center"/>
          </w:tcPr>
          <w:p>
            <w:pPr>
              <w:keepNext/>
              <w:keepLines/>
              <w:spacing w:after="0" w:line="240" w:lineRule="auto"/>
            </w:pPr>
          </w:p>
        </w:tc>
        <w:tc>
          <w:tcPr>
            <w:tcW w:w="3180" w:type="dxa"/>
            <w:tcMar>
              <w:top w:w="0" w:type="dxa"/>
              <w:bottom w:w="0" w:type="dxa"/>
            </w:tcMar>
            <w:vAlign w:val="center"/>
          </w:tcPr>
          <w:p>
            <w:pPr>
              <w:keepNext/>
              <w:keepLines/>
              <w:spacing w:after="0" w:line="240" w:lineRule="auto"/>
            </w:pPr>
            <w:r>
              <w:rPr>
                <w:b/>
                <w:sz w:val="18"/>
              </w:rPr>
              <w:t>VIŠAK PRIMITAKA OD FINANCIJSKE IMOVINE I ZADUŽIVANJA (šifre 8-5)</w:t>
            </w:r>
          </w:p>
        </w:tc>
        <w:tc>
          <w:tcPr>
            <w:tcW w:w="700" w:type="dxa"/>
            <w:tcMar>
              <w:top w:w="0" w:type="dxa"/>
              <w:bottom w:w="0" w:type="dxa"/>
            </w:tcMar>
            <w:vAlign w:val="center"/>
          </w:tcPr>
          <w:p>
            <w:pPr>
              <w:keepNext/>
              <w:keepLines/>
              <w:spacing w:after="0" w:line="240" w:lineRule="auto"/>
            </w:pPr>
            <w:r>
              <w:rPr>
                <w:b/>
                <w:sz w:val="18"/>
              </w:rPr>
              <w:t>X003</w:t>
            </w:r>
          </w:p>
        </w:tc>
        <w:tc>
          <w:tcPr>
            <w:tcW w:w="1860" w:type="dxa"/>
            <w:tcMar>
              <w:top w:w="0" w:type="dxa"/>
              <w:bottom w:w="0" w:type="dxa"/>
            </w:tcMar>
            <w:vAlign w:val="center"/>
          </w:tcPr>
          <w:p>
            <w:pPr>
              <w:keepNext/>
              <w:keepLines/>
              <w:spacing w:after="0" w:line="240" w:lineRule="auto"/>
              <w:jc w:val="right"/>
            </w:pPr>
            <w:r>
              <w:rPr>
                <w:b/>
                <w:sz w:val="18"/>
              </w:rPr>
              <w:t>0,00</w:t>
            </w:r>
          </w:p>
        </w:tc>
        <w:tc>
          <w:tcPr>
            <w:tcW w:w="1860" w:type="dxa"/>
            <w:tcMar>
              <w:top w:w="0" w:type="dxa"/>
              <w:bottom w:w="0" w:type="dxa"/>
            </w:tcMar>
            <w:vAlign w:val="center"/>
          </w:tcPr>
          <w:p>
            <w:pPr>
              <w:keepNext/>
              <w:keepLines/>
              <w:spacing w:after="0" w:line="240" w:lineRule="auto"/>
              <w:jc w:val="right"/>
            </w:pPr>
            <w:r>
              <w:rPr>
                <w:b/>
                <w:sz w:val="18"/>
              </w:rPr>
              <w:t>12.056,69</w:t>
            </w:r>
          </w:p>
        </w:tc>
        <w:tc>
          <w:tcPr>
            <w:tcW w:w="700" w:type="dxa"/>
            <w:tcMar>
              <w:top w:w="0" w:type="dxa"/>
              <w:bottom w:w="0" w:type="dxa"/>
            </w:tcMar>
            <w:vAlign w:val="center"/>
          </w:tcPr>
          <w:p>
            <w:pPr>
              <w:keepNext/>
              <w:keepLines/>
              <w:spacing w:after="0" w:line="240" w:lineRule="auto"/>
              <w:jc w:val="right"/>
            </w:pPr>
            <w:r>
              <w:rPr>
                <w:b/>
                <w:sz w:val="18"/>
              </w:rPr>
              <w:t>-</w:t>
            </w:r>
          </w:p>
        </w:tc>
      </w:tr>
      <w:tr>
        <w:tblPrEx>
          <w:tblCellMar>
            <w:top w:w="0" w:type="dxa"/>
            <w:bottom w:w="0" w:type="dxa"/>
          </w:tblCellMar>
        </w:tblPrEx>
        <w:trPr>
          <w:cantSplit/>
          <w:trHeight w:val="560"/>
        </w:trPr>
        <w:tc>
          <w:tcPr>
            <w:tcW w:w="700" w:type="dxa"/>
            <w:tcMar>
              <w:top w:w="0" w:type="dxa"/>
              <w:bottom w:w="0" w:type="dxa"/>
            </w:tcMar>
            <w:vAlign w:val="center"/>
          </w:tcPr>
          <w:p>
            <w:pPr>
              <w:keepNext/>
              <w:keepLines/>
              <w:spacing w:after="0" w:line="240" w:lineRule="auto"/>
            </w:pPr>
          </w:p>
        </w:tc>
        <w:tc>
          <w:tcPr>
            <w:tcW w:w="3180" w:type="dxa"/>
            <w:tcMar>
              <w:top w:w="0" w:type="dxa"/>
              <w:bottom w:w="0" w:type="dxa"/>
            </w:tcMar>
            <w:vAlign w:val="center"/>
          </w:tcPr>
          <w:p>
            <w:pPr>
              <w:keepNext/>
              <w:keepLines/>
              <w:spacing w:after="0" w:line="240" w:lineRule="auto"/>
            </w:pPr>
            <w:r>
              <w:rPr>
                <w:b/>
                <w:sz w:val="18"/>
              </w:rPr>
              <w:t>MANJAK PRIHODA I PRIMITAKA (šifre Y345-X678)</w:t>
            </w:r>
          </w:p>
        </w:tc>
        <w:tc>
          <w:tcPr>
            <w:tcW w:w="700" w:type="dxa"/>
            <w:tcMar>
              <w:top w:w="0" w:type="dxa"/>
              <w:bottom w:w="0" w:type="dxa"/>
            </w:tcMar>
            <w:vAlign w:val="center"/>
          </w:tcPr>
          <w:p>
            <w:pPr>
              <w:keepNext/>
              <w:keepLines/>
              <w:spacing w:after="0" w:line="240" w:lineRule="auto"/>
            </w:pPr>
            <w:r>
              <w:rPr>
                <w:b/>
                <w:sz w:val="18"/>
              </w:rPr>
              <w:t>Y005</w:t>
            </w:r>
          </w:p>
        </w:tc>
        <w:tc>
          <w:tcPr>
            <w:tcW w:w="1860" w:type="dxa"/>
            <w:tcMar>
              <w:top w:w="0" w:type="dxa"/>
              <w:bottom w:w="0" w:type="dxa"/>
            </w:tcMar>
            <w:vAlign w:val="center"/>
          </w:tcPr>
          <w:p>
            <w:pPr>
              <w:keepNext/>
              <w:keepLines/>
              <w:spacing w:after="0" w:line="240" w:lineRule="auto"/>
              <w:jc w:val="right"/>
            </w:pPr>
            <w:r>
              <w:rPr>
                <w:b/>
                <w:sz w:val="18"/>
              </w:rPr>
              <w:t>0,00</w:t>
            </w:r>
          </w:p>
        </w:tc>
        <w:tc>
          <w:tcPr>
            <w:tcW w:w="1860" w:type="dxa"/>
            <w:tcMar>
              <w:top w:w="0" w:type="dxa"/>
              <w:bottom w:w="0" w:type="dxa"/>
            </w:tcMar>
            <w:vAlign w:val="center"/>
          </w:tcPr>
          <w:p>
            <w:pPr>
              <w:keepNext/>
              <w:keepLines/>
              <w:spacing w:after="0" w:line="240" w:lineRule="auto"/>
              <w:jc w:val="right"/>
            </w:pPr>
            <w:r>
              <w:rPr>
                <w:b/>
                <w:sz w:val="18"/>
              </w:rPr>
              <w:t>257.906,64</w:t>
            </w:r>
          </w:p>
        </w:tc>
        <w:tc>
          <w:tcPr>
            <w:tcW w:w="700" w:type="dxa"/>
            <w:tcMar>
              <w:top w:w="0" w:type="dxa"/>
              <w:bottom w:w="0" w:type="dxa"/>
            </w:tcMar>
            <w:vAlign w:val="center"/>
          </w:tcPr>
          <w:p>
            <w:pPr>
              <w:keepNext/>
              <w:keepLines/>
              <w:spacing w:after="0" w:line="240" w:lineRule="auto"/>
              <w:jc w:val="right"/>
            </w:pPr>
            <w:r>
              <w:rPr>
                <w:b/>
                <w:sz w:val="18"/>
              </w:rPr>
              <w:t>-</w:t>
            </w:r>
          </w:p>
        </w:tc>
      </w:tr>
    </w:tbl>
    <w:p>
      <w:pPr>
        <w:spacing w:after="0"/>
      </w:pPr>
    </w:p>
    <w:p>
      <w:r>
        <w:t xml:space="preserve">U razdoblju od 1.1. do 31.12.2025. godine prihodi poslovanja ostvareni su u iznosu od 2.355.670,58 eura. Najznačajnije smanjenje prihoda poslovanja ostvareno je od tekućih pomoći zbog evidentiranja sredstava fiskalnog izravnanja na novom kontu, također imamo i  smanjenje prihoda od kapitalnih pomoći. Rashodi poslovanja ostvareni su u iznosu od 1.443.169,25 eura. Najznačajnije povećanje rashoda evidentirano je na rashodima za zaposlene, što je rezultat povećanja plaća i provedbe projekta Zaželi kroz cijelu 2025.godinu, </w:t>
      </w:r>
      <w:r>
        <w:lastRenderedPageBreak/>
        <w:t>također povećani su i materijalni rashodi zbog rasta cijena materijala i usluga, te provedbe lokalnih izbora.</w:t>
      </w:r>
    </w:p>
    <w:p>
      <w:r>
        <w:t>U navedenom razdoblju nema ostvarenih prihoda od prodaje nefinancijske imovine, dok je najznačajnija promjena u realiziranim rashodima na nefinancijskoj imovini na dodatnim ulaganjima.</w:t>
      </w:r>
    </w:p>
    <w:p>
      <w:r>
        <w:t xml:space="preserve">Primici od financijske imovine i zaduživanja iznose 498.745,77 eura, a odnose se na kredit HBOR-a za provedbu EU projekta, koji je nakon primljenih EU sredstava vraćen u visini primljene potpore. Izdaci za financijsku imovinu i otplatu zajmova iznose 486.689,08 eura, a </w:t>
      </w:r>
      <w:proofErr w:type="spellStart"/>
      <w:r>
        <w:t>ondose</w:t>
      </w:r>
      <w:proofErr w:type="spellEnd"/>
      <w:r>
        <w:t xml:space="preserve"> se na povrat kredita HBOR-u u iznosu od 481.689,08 eura i 5.000,00 eura povrat dijela beskamatnog zajma u državni proračun.</w:t>
      </w:r>
    </w:p>
    <w:p>
      <w:r>
        <w:t>U navedenom razdoblju ostvaren je višak prihoda poslovanja u iznosu od 912.501,33 eura, manjak prihoda od nefinancijske imovine 1.182.464,66 eura i višak od financijske imovine i zaduživanja 12.056,69 eura, slijedom čega je na kraju izvještajnog razdoblja ostvaren manjak prihoda i primitaka u iznosu od 257.906,64 eura.</w:t>
      </w:r>
    </w:p>
    <w:p>
      <w:r>
        <w:br/>
      </w:r>
    </w:p>
    <w:p>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tblPrEx>
          <w:tblCellMar>
            <w:top w:w="0" w:type="dxa"/>
            <w:bottom w:w="0" w:type="dxa"/>
          </w:tblCellMar>
        </w:tblPrEx>
        <w:trPr>
          <w:cantSplit/>
        </w:trPr>
        <w:tc>
          <w:tcPr>
            <w:tcW w:w="700" w:type="dxa"/>
            <w:shd w:val="clear" w:color="auto" w:fill="E7F0F9"/>
            <w:tcMar>
              <w:top w:w="0" w:type="dxa"/>
              <w:bottom w:w="0" w:type="dxa"/>
            </w:tcMar>
            <w:vAlign w:val="center"/>
          </w:tcPr>
          <w:p>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pPr>
              <w:keepNext/>
              <w:keepLines/>
              <w:spacing w:after="0" w:line="240" w:lineRule="auto"/>
              <w:jc w:val="center"/>
            </w:pPr>
            <w:r>
              <w:rPr>
                <w:b/>
                <w:sz w:val="18"/>
              </w:rPr>
              <w:t>Indeks (%)</w:t>
            </w:r>
          </w:p>
        </w:tc>
      </w:tr>
      <w:tr>
        <w:tblPrEx>
          <w:tblCellMar>
            <w:top w:w="0" w:type="dxa"/>
            <w:bottom w:w="0" w:type="dxa"/>
          </w:tblCellMar>
        </w:tblPrEx>
        <w:trPr>
          <w:cantSplit/>
          <w:trHeight w:val="560"/>
        </w:trPr>
        <w:tc>
          <w:tcPr>
            <w:tcW w:w="700" w:type="dxa"/>
            <w:tcMar>
              <w:top w:w="0" w:type="dxa"/>
              <w:bottom w:w="0" w:type="dxa"/>
            </w:tcMar>
            <w:vAlign w:val="center"/>
          </w:tcPr>
          <w:p>
            <w:pPr>
              <w:keepNext/>
              <w:keepLines/>
              <w:spacing w:after="0" w:line="240" w:lineRule="auto"/>
            </w:pPr>
            <w:r>
              <w:rPr>
                <w:sz w:val="18"/>
              </w:rPr>
              <w:t>6131</w:t>
            </w:r>
          </w:p>
        </w:tc>
        <w:tc>
          <w:tcPr>
            <w:tcW w:w="3180" w:type="dxa"/>
            <w:tcMar>
              <w:top w:w="0" w:type="dxa"/>
              <w:bottom w:w="0" w:type="dxa"/>
            </w:tcMar>
            <w:vAlign w:val="center"/>
          </w:tcPr>
          <w:p>
            <w:pPr>
              <w:keepNext/>
              <w:keepLines/>
              <w:spacing w:after="0" w:line="240" w:lineRule="auto"/>
            </w:pPr>
            <w:r>
              <w:rPr>
                <w:sz w:val="18"/>
              </w:rPr>
              <w:t>Stalni porezi na nepokretnu imovinu (zemlju, zgrade, kuće i ostalo)</w:t>
            </w:r>
          </w:p>
        </w:tc>
        <w:tc>
          <w:tcPr>
            <w:tcW w:w="700" w:type="dxa"/>
            <w:tcMar>
              <w:top w:w="0" w:type="dxa"/>
              <w:bottom w:w="0" w:type="dxa"/>
            </w:tcMar>
            <w:vAlign w:val="center"/>
          </w:tcPr>
          <w:p>
            <w:pPr>
              <w:keepNext/>
              <w:keepLines/>
              <w:spacing w:after="0" w:line="240" w:lineRule="auto"/>
            </w:pPr>
            <w:r>
              <w:rPr>
                <w:sz w:val="18"/>
              </w:rPr>
              <w:t>6131</w:t>
            </w:r>
          </w:p>
        </w:tc>
        <w:tc>
          <w:tcPr>
            <w:tcW w:w="1860" w:type="dxa"/>
            <w:tcMar>
              <w:top w:w="0" w:type="dxa"/>
              <w:bottom w:w="0" w:type="dxa"/>
            </w:tcMar>
            <w:vAlign w:val="center"/>
          </w:tcPr>
          <w:p>
            <w:pPr>
              <w:keepNext/>
              <w:keepLines/>
              <w:spacing w:after="0" w:line="240" w:lineRule="auto"/>
              <w:jc w:val="right"/>
            </w:pPr>
            <w:r>
              <w:rPr>
                <w:sz w:val="18"/>
              </w:rPr>
              <w:t>29.996,40</w:t>
            </w:r>
          </w:p>
        </w:tc>
        <w:tc>
          <w:tcPr>
            <w:tcW w:w="1860" w:type="dxa"/>
            <w:tcMar>
              <w:top w:w="0" w:type="dxa"/>
              <w:bottom w:w="0" w:type="dxa"/>
            </w:tcMar>
            <w:vAlign w:val="center"/>
          </w:tcPr>
          <w:p>
            <w:pPr>
              <w:keepNext/>
              <w:keepLines/>
              <w:spacing w:after="0" w:line="240" w:lineRule="auto"/>
              <w:jc w:val="right"/>
            </w:pPr>
            <w:r>
              <w:rPr>
                <w:sz w:val="18"/>
              </w:rPr>
              <w:t>21.141,37</w:t>
            </w:r>
          </w:p>
        </w:tc>
        <w:tc>
          <w:tcPr>
            <w:tcW w:w="700" w:type="dxa"/>
            <w:tcMar>
              <w:top w:w="0" w:type="dxa"/>
              <w:bottom w:w="0" w:type="dxa"/>
            </w:tcMar>
            <w:vAlign w:val="center"/>
          </w:tcPr>
          <w:p>
            <w:pPr>
              <w:keepNext/>
              <w:keepLines/>
              <w:spacing w:after="0" w:line="240" w:lineRule="auto"/>
              <w:jc w:val="right"/>
            </w:pPr>
            <w:r>
              <w:rPr>
                <w:sz w:val="18"/>
              </w:rPr>
              <w:t>70,5</w:t>
            </w:r>
          </w:p>
        </w:tc>
      </w:tr>
    </w:tbl>
    <w:p>
      <w:pPr>
        <w:spacing w:after="0"/>
      </w:pPr>
    </w:p>
    <w:p>
      <w:r>
        <w:t>Porezi na imovinu su realizirani u manjem iznosu nego prethodne godine, zbog kasnijeg izdavanja rješenja za naplatu poreza na nekretnine.</w:t>
      </w:r>
    </w:p>
    <w:p/>
    <w:p>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tblPrEx>
          <w:tblCellMar>
            <w:top w:w="0" w:type="dxa"/>
            <w:bottom w:w="0" w:type="dxa"/>
          </w:tblCellMar>
        </w:tblPrEx>
        <w:trPr>
          <w:cantSplit/>
        </w:trPr>
        <w:tc>
          <w:tcPr>
            <w:tcW w:w="700" w:type="dxa"/>
            <w:shd w:val="clear" w:color="auto" w:fill="E7F0F9"/>
            <w:tcMar>
              <w:top w:w="0" w:type="dxa"/>
              <w:bottom w:w="0" w:type="dxa"/>
            </w:tcMar>
            <w:vAlign w:val="center"/>
          </w:tcPr>
          <w:p>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pPr>
              <w:keepNext/>
              <w:keepLines/>
              <w:spacing w:after="0" w:line="240" w:lineRule="auto"/>
              <w:jc w:val="center"/>
            </w:pPr>
            <w:r>
              <w:rPr>
                <w:b/>
                <w:sz w:val="18"/>
              </w:rPr>
              <w:t>Indeks (%)</w:t>
            </w:r>
          </w:p>
        </w:tc>
      </w:tr>
      <w:tr>
        <w:tblPrEx>
          <w:tblCellMar>
            <w:top w:w="0" w:type="dxa"/>
            <w:bottom w:w="0" w:type="dxa"/>
          </w:tblCellMar>
        </w:tblPrEx>
        <w:trPr>
          <w:cantSplit/>
          <w:trHeight w:val="560"/>
        </w:trPr>
        <w:tc>
          <w:tcPr>
            <w:tcW w:w="700" w:type="dxa"/>
            <w:tcMar>
              <w:top w:w="0" w:type="dxa"/>
              <w:bottom w:w="0" w:type="dxa"/>
            </w:tcMar>
            <w:vAlign w:val="center"/>
          </w:tcPr>
          <w:p>
            <w:pPr>
              <w:keepNext/>
              <w:keepLines/>
              <w:spacing w:after="0" w:line="240" w:lineRule="auto"/>
            </w:pPr>
            <w:r>
              <w:rPr>
                <w:sz w:val="18"/>
              </w:rPr>
              <w:t>6331</w:t>
            </w:r>
          </w:p>
        </w:tc>
        <w:tc>
          <w:tcPr>
            <w:tcW w:w="3180" w:type="dxa"/>
            <w:tcMar>
              <w:top w:w="0" w:type="dxa"/>
              <w:bottom w:w="0" w:type="dxa"/>
            </w:tcMar>
            <w:vAlign w:val="center"/>
          </w:tcPr>
          <w:p>
            <w:pPr>
              <w:keepNext/>
              <w:keepLines/>
              <w:spacing w:after="0" w:line="240" w:lineRule="auto"/>
            </w:pPr>
            <w:r>
              <w:rPr>
                <w:sz w:val="18"/>
              </w:rPr>
              <w:t>Tekuće pomoći proračunu i izvanproračunskim korisnicima iz drugih proračuna</w:t>
            </w:r>
          </w:p>
        </w:tc>
        <w:tc>
          <w:tcPr>
            <w:tcW w:w="700" w:type="dxa"/>
            <w:tcMar>
              <w:top w:w="0" w:type="dxa"/>
              <w:bottom w:w="0" w:type="dxa"/>
            </w:tcMar>
            <w:vAlign w:val="center"/>
          </w:tcPr>
          <w:p>
            <w:pPr>
              <w:keepNext/>
              <w:keepLines/>
              <w:spacing w:after="0" w:line="240" w:lineRule="auto"/>
            </w:pPr>
            <w:r>
              <w:rPr>
                <w:sz w:val="18"/>
              </w:rPr>
              <w:t>6331</w:t>
            </w:r>
          </w:p>
        </w:tc>
        <w:tc>
          <w:tcPr>
            <w:tcW w:w="1860" w:type="dxa"/>
            <w:tcMar>
              <w:top w:w="0" w:type="dxa"/>
              <w:bottom w:w="0" w:type="dxa"/>
            </w:tcMar>
            <w:vAlign w:val="center"/>
          </w:tcPr>
          <w:p>
            <w:pPr>
              <w:keepNext/>
              <w:keepLines/>
              <w:spacing w:after="0" w:line="240" w:lineRule="auto"/>
              <w:jc w:val="right"/>
            </w:pPr>
            <w:r>
              <w:rPr>
                <w:sz w:val="18"/>
              </w:rPr>
              <w:t>514.962,11</w:t>
            </w:r>
          </w:p>
        </w:tc>
        <w:tc>
          <w:tcPr>
            <w:tcW w:w="1860" w:type="dxa"/>
            <w:tcMar>
              <w:top w:w="0" w:type="dxa"/>
              <w:bottom w:w="0" w:type="dxa"/>
            </w:tcMar>
            <w:vAlign w:val="center"/>
          </w:tcPr>
          <w:p>
            <w:pPr>
              <w:keepNext/>
              <w:keepLines/>
              <w:spacing w:after="0" w:line="240" w:lineRule="auto"/>
              <w:jc w:val="right"/>
            </w:pPr>
            <w:r>
              <w:rPr>
                <w:sz w:val="18"/>
              </w:rPr>
              <w:t>198.449,72</w:t>
            </w:r>
          </w:p>
        </w:tc>
        <w:tc>
          <w:tcPr>
            <w:tcW w:w="700" w:type="dxa"/>
            <w:tcMar>
              <w:top w:w="0" w:type="dxa"/>
              <w:bottom w:w="0" w:type="dxa"/>
            </w:tcMar>
            <w:vAlign w:val="center"/>
          </w:tcPr>
          <w:p>
            <w:pPr>
              <w:keepNext/>
              <w:keepLines/>
              <w:spacing w:after="0" w:line="240" w:lineRule="auto"/>
              <w:jc w:val="right"/>
            </w:pPr>
            <w:r>
              <w:rPr>
                <w:sz w:val="18"/>
              </w:rPr>
              <w:t>38,5</w:t>
            </w:r>
          </w:p>
        </w:tc>
      </w:tr>
    </w:tbl>
    <w:p>
      <w:pPr>
        <w:spacing w:after="0"/>
      </w:pPr>
    </w:p>
    <w:p>
      <w:r>
        <w:t xml:space="preserve">Smanjenje iznosa tekućih pomoći u odnosu na prethodnu godinu zbog novog evidentiranja sredstava </w:t>
      </w:r>
      <w:proofErr w:type="spellStart"/>
      <w:r>
        <w:t>fisklanog</w:t>
      </w:r>
      <w:proofErr w:type="spellEnd"/>
      <w:r>
        <w:t xml:space="preserve"> izravnanja.</w:t>
      </w:r>
    </w:p>
    <w:p/>
    <w:p>
      <w:pPr>
        <w:keepNext/>
        <w:spacing w:line="240" w:lineRule="auto"/>
        <w:jc w:val="center"/>
      </w:pPr>
      <w:r>
        <w:rPr>
          <w:sz w:val="28"/>
        </w:rPr>
        <w:lastRenderedPageBreak/>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tblPrEx>
          <w:tblCellMar>
            <w:top w:w="0" w:type="dxa"/>
            <w:bottom w:w="0" w:type="dxa"/>
          </w:tblCellMar>
        </w:tblPrEx>
        <w:trPr>
          <w:cantSplit/>
        </w:trPr>
        <w:tc>
          <w:tcPr>
            <w:tcW w:w="700" w:type="dxa"/>
            <w:shd w:val="clear" w:color="auto" w:fill="E7F0F9"/>
            <w:tcMar>
              <w:top w:w="0" w:type="dxa"/>
              <w:bottom w:w="0" w:type="dxa"/>
            </w:tcMar>
            <w:vAlign w:val="center"/>
          </w:tcPr>
          <w:p>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pPr>
              <w:keepNext/>
              <w:keepLines/>
              <w:spacing w:after="0" w:line="240" w:lineRule="auto"/>
              <w:jc w:val="center"/>
            </w:pPr>
            <w:r>
              <w:rPr>
                <w:b/>
                <w:sz w:val="18"/>
              </w:rPr>
              <w:t>Indeks (%)</w:t>
            </w:r>
          </w:p>
        </w:tc>
      </w:tr>
      <w:tr>
        <w:tblPrEx>
          <w:tblCellMar>
            <w:top w:w="0" w:type="dxa"/>
            <w:bottom w:w="0" w:type="dxa"/>
          </w:tblCellMar>
        </w:tblPrEx>
        <w:trPr>
          <w:cantSplit/>
          <w:trHeight w:val="560"/>
        </w:trPr>
        <w:tc>
          <w:tcPr>
            <w:tcW w:w="700" w:type="dxa"/>
            <w:tcMar>
              <w:top w:w="0" w:type="dxa"/>
              <w:bottom w:w="0" w:type="dxa"/>
            </w:tcMar>
            <w:vAlign w:val="center"/>
          </w:tcPr>
          <w:p>
            <w:pPr>
              <w:keepNext/>
              <w:keepLines/>
              <w:spacing w:after="0" w:line="240" w:lineRule="auto"/>
            </w:pPr>
            <w:r>
              <w:rPr>
                <w:sz w:val="18"/>
              </w:rPr>
              <w:t>64</w:t>
            </w:r>
          </w:p>
        </w:tc>
        <w:tc>
          <w:tcPr>
            <w:tcW w:w="3180" w:type="dxa"/>
            <w:tcMar>
              <w:top w:w="0" w:type="dxa"/>
              <w:bottom w:w="0" w:type="dxa"/>
            </w:tcMar>
            <w:vAlign w:val="center"/>
          </w:tcPr>
          <w:p>
            <w:pPr>
              <w:keepNext/>
              <w:keepLines/>
              <w:spacing w:after="0" w:line="240" w:lineRule="auto"/>
            </w:pPr>
            <w:r>
              <w:rPr>
                <w:sz w:val="18"/>
              </w:rPr>
              <w:t>Prihodi od imovine (šifre 641+642+643)</w:t>
            </w:r>
          </w:p>
        </w:tc>
        <w:tc>
          <w:tcPr>
            <w:tcW w:w="700" w:type="dxa"/>
            <w:tcMar>
              <w:top w:w="0" w:type="dxa"/>
              <w:bottom w:w="0" w:type="dxa"/>
            </w:tcMar>
            <w:vAlign w:val="center"/>
          </w:tcPr>
          <w:p>
            <w:pPr>
              <w:keepNext/>
              <w:keepLines/>
              <w:spacing w:after="0" w:line="240" w:lineRule="auto"/>
            </w:pPr>
            <w:r>
              <w:rPr>
                <w:sz w:val="18"/>
              </w:rPr>
              <w:t>64</w:t>
            </w:r>
          </w:p>
        </w:tc>
        <w:tc>
          <w:tcPr>
            <w:tcW w:w="1860" w:type="dxa"/>
            <w:tcMar>
              <w:top w:w="0" w:type="dxa"/>
              <w:bottom w:w="0" w:type="dxa"/>
            </w:tcMar>
            <w:vAlign w:val="center"/>
          </w:tcPr>
          <w:p>
            <w:pPr>
              <w:keepNext/>
              <w:keepLines/>
              <w:spacing w:after="0" w:line="240" w:lineRule="auto"/>
              <w:jc w:val="right"/>
            </w:pPr>
            <w:r>
              <w:rPr>
                <w:sz w:val="18"/>
              </w:rPr>
              <w:t>21.562,58</w:t>
            </w:r>
          </w:p>
        </w:tc>
        <w:tc>
          <w:tcPr>
            <w:tcW w:w="1860" w:type="dxa"/>
            <w:tcMar>
              <w:top w:w="0" w:type="dxa"/>
              <w:bottom w:w="0" w:type="dxa"/>
            </w:tcMar>
            <w:vAlign w:val="center"/>
          </w:tcPr>
          <w:p>
            <w:pPr>
              <w:keepNext/>
              <w:keepLines/>
              <w:spacing w:after="0" w:line="240" w:lineRule="auto"/>
              <w:jc w:val="right"/>
            </w:pPr>
            <w:r>
              <w:rPr>
                <w:sz w:val="18"/>
              </w:rPr>
              <w:t>34.121,56</w:t>
            </w:r>
          </w:p>
        </w:tc>
        <w:tc>
          <w:tcPr>
            <w:tcW w:w="700" w:type="dxa"/>
            <w:tcMar>
              <w:top w:w="0" w:type="dxa"/>
              <w:bottom w:w="0" w:type="dxa"/>
            </w:tcMar>
            <w:vAlign w:val="center"/>
          </w:tcPr>
          <w:p>
            <w:pPr>
              <w:keepNext/>
              <w:keepLines/>
              <w:spacing w:after="0" w:line="240" w:lineRule="auto"/>
              <w:jc w:val="right"/>
            </w:pPr>
            <w:r>
              <w:rPr>
                <w:sz w:val="18"/>
              </w:rPr>
              <w:t>158,2</w:t>
            </w:r>
          </w:p>
        </w:tc>
      </w:tr>
    </w:tbl>
    <w:p>
      <w:pPr>
        <w:spacing w:after="0"/>
      </w:pPr>
    </w:p>
    <w:p>
      <w:r>
        <w:t>Povećanje prihoda od imovine u odnosu na prethodnu godinu zbog naplate višegodišnjeg dugovanja od HT-a za zakup prostora.</w:t>
      </w:r>
    </w:p>
    <w:p/>
    <w:p>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tblPrEx>
          <w:tblCellMar>
            <w:top w:w="0" w:type="dxa"/>
            <w:bottom w:w="0" w:type="dxa"/>
          </w:tblCellMar>
        </w:tblPrEx>
        <w:trPr>
          <w:cantSplit/>
        </w:trPr>
        <w:tc>
          <w:tcPr>
            <w:tcW w:w="700" w:type="dxa"/>
            <w:shd w:val="clear" w:color="auto" w:fill="E7F0F9"/>
            <w:tcMar>
              <w:top w:w="0" w:type="dxa"/>
              <w:bottom w:w="0" w:type="dxa"/>
            </w:tcMar>
            <w:vAlign w:val="center"/>
          </w:tcPr>
          <w:p>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pPr>
              <w:keepNext/>
              <w:keepLines/>
              <w:spacing w:after="0" w:line="240" w:lineRule="auto"/>
              <w:jc w:val="center"/>
            </w:pPr>
            <w:r>
              <w:rPr>
                <w:b/>
                <w:sz w:val="18"/>
              </w:rPr>
              <w:t>Indeks (%)</w:t>
            </w:r>
          </w:p>
        </w:tc>
      </w:tr>
      <w:tr>
        <w:tblPrEx>
          <w:tblCellMar>
            <w:top w:w="0" w:type="dxa"/>
            <w:bottom w:w="0" w:type="dxa"/>
          </w:tblCellMar>
        </w:tblPrEx>
        <w:trPr>
          <w:cantSplit/>
          <w:trHeight w:val="560"/>
        </w:trPr>
        <w:tc>
          <w:tcPr>
            <w:tcW w:w="700" w:type="dxa"/>
            <w:tcMar>
              <w:top w:w="0" w:type="dxa"/>
              <w:bottom w:w="0" w:type="dxa"/>
            </w:tcMar>
            <w:vAlign w:val="center"/>
          </w:tcPr>
          <w:p>
            <w:pPr>
              <w:keepNext/>
              <w:keepLines/>
              <w:spacing w:after="0" w:line="240" w:lineRule="auto"/>
            </w:pPr>
            <w:r>
              <w:rPr>
                <w:sz w:val="18"/>
              </w:rPr>
              <w:t>652</w:t>
            </w:r>
          </w:p>
        </w:tc>
        <w:tc>
          <w:tcPr>
            <w:tcW w:w="3180" w:type="dxa"/>
            <w:tcMar>
              <w:top w:w="0" w:type="dxa"/>
              <w:bottom w:w="0" w:type="dxa"/>
            </w:tcMar>
            <w:vAlign w:val="center"/>
          </w:tcPr>
          <w:p>
            <w:pPr>
              <w:keepNext/>
              <w:keepLines/>
              <w:spacing w:after="0" w:line="240" w:lineRule="auto"/>
            </w:pPr>
            <w:r>
              <w:rPr>
                <w:sz w:val="18"/>
              </w:rPr>
              <w:t>Prihodi po posebnim propisima (šifre 6521 do 6528)</w:t>
            </w:r>
          </w:p>
        </w:tc>
        <w:tc>
          <w:tcPr>
            <w:tcW w:w="700" w:type="dxa"/>
            <w:tcMar>
              <w:top w:w="0" w:type="dxa"/>
              <w:bottom w:w="0" w:type="dxa"/>
            </w:tcMar>
            <w:vAlign w:val="center"/>
          </w:tcPr>
          <w:p>
            <w:pPr>
              <w:keepNext/>
              <w:keepLines/>
              <w:spacing w:after="0" w:line="240" w:lineRule="auto"/>
            </w:pPr>
            <w:r>
              <w:rPr>
                <w:sz w:val="18"/>
              </w:rPr>
              <w:t>652</w:t>
            </w:r>
          </w:p>
        </w:tc>
        <w:tc>
          <w:tcPr>
            <w:tcW w:w="1860" w:type="dxa"/>
            <w:tcMar>
              <w:top w:w="0" w:type="dxa"/>
              <w:bottom w:w="0" w:type="dxa"/>
            </w:tcMar>
            <w:vAlign w:val="center"/>
          </w:tcPr>
          <w:p>
            <w:pPr>
              <w:keepNext/>
              <w:keepLines/>
              <w:spacing w:after="0" w:line="240" w:lineRule="auto"/>
              <w:jc w:val="right"/>
            </w:pPr>
            <w:r>
              <w:rPr>
                <w:sz w:val="18"/>
              </w:rPr>
              <w:t>13.557,56</w:t>
            </w:r>
          </w:p>
        </w:tc>
        <w:tc>
          <w:tcPr>
            <w:tcW w:w="1860" w:type="dxa"/>
            <w:tcMar>
              <w:top w:w="0" w:type="dxa"/>
              <w:bottom w:w="0" w:type="dxa"/>
            </w:tcMar>
            <w:vAlign w:val="center"/>
          </w:tcPr>
          <w:p>
            <w:pPr>
              <w:keepNext/>
              <w:keepLines/>
              <w:spacing w:after="0" w:line="240" w:lineRule="auto"/>
              <w:jc w:val="right"/>
            </w:pPr>
            <w:r>
              <w:rPr>
                <w:sz w:val="18"/>
              </w:rPr>
              <w:t>5.508,27</w:t>
            </w:r>
          </w:p>
        </w:tc>
        <w:tc>
          <w:tcPr>
            <w:tcW w:w="700" w:type="dxa"/>
            <w:tcMar>
              <w:top w:w="0" w:type="dxa"/>
              <w:bottom w:w="0" w:type="dxa"/>
            </w:tcMar>
            <w:vAlign w:val="center"/>
          </w:tcPr>
          <w:p>
            <w:pPr>
              <w:keepNext/>
              <w:keepLines/>
              <w:spacing w:after="0" w:line="240" w:lineRule="auto"/>
              <w:jc w:val="right"/>
            </w:pPr>
            <w:r>
              <w:rPr>
                <w:sz w:val="18"/>
              </w:rPr>
              <w:t>40,6</w:t>
            </w:r>
          </w:p>
        </w:tc>
      </w:tr>
    </w:tbl>
    <w:p>
      <w:pPr>
        <w:spacing w:after="0"/>
      </w:pPr>
    </w:p>
    <w:p>
      <w:r>
        <w:t>Ostvarenje prihoda od šumskog doprinosa u manjem iznosu u odnosu na prethodnu godinu.</w:t>
      </w:r>
    </w:p>
    <w:p/>
    <w:p>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tblPrEx>
          <w:tblCellMar>
            <w:top w:w="0" w:type="dxa"/>
            <w:bottom w:w="0" w:type="dxa"/>
          </w:tblCellMar>
        </w:tblPrEx>
        <w:trPr>
          <w:cantSplit/>
        </w:trPr>
        <w:tc>
          <w:tcPr>
            <w:tcW w:w="700" w:type="dxa"/>
            <w:shd w:val="clear" w:color="auto" w:fill="E7F0F9"/>
            <w:tcMar>
              <w:top w:w="0" w:type="dxa"/>
              <w:bottom w:w="0" w:type="dxa"/>
            </w:tcMar>
            <w:vAlign w:val="center"/>
          </w:tcPr>
          <w:p>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pPr>
              <w:keepNext/>
              <w:keepLines/>
              <w:spacing w:after="0" w:line="240" w:lineRule="auto"/>
              <w:jc w:val="center"/>
            </w:pPr>
            <w:r>
              <w:rPr>
                <w:b/>
                <w:sz w:val="18"/>
              </w:rPr>
              <w:t>Indeks (%)</w:t>
            </w:r>
          </w:p>
        </w:tc>
      </w:tr>
      <w:tr>
        <w:tblPrEx>
          <w:tblCellMar>
            <w:top w:w="0" w:type="dxa"/>
            <w:bottom w:w="0" w:type="dxa"/>
          </w:tblCellMar>
        </w:tblPrEx>
        <w:trPr>
          <w:cantSplit/>
          <w:trHeight w:val="560"/>
        </w:trPr>
        <w:tc>
          <w:tcPr>
            <w:tcW w:w="700" w:type="dxa"/>
            <w:tcMar>
              <w:top w:w="0" w:type="dxa"/>
              <w:bottom w:w="0" w:type="dxa"/>
            </w:tcMar>
            <w:vAlign w:val="center"/>
          </w:tcPr>
          <w:p>
            <w:pPr>
              <w:keepNext/>
              <w:keepLines/>
              <w:spacing w:after="0" w:line="240" w:lineRule="auto"/>
            </w:pPr>
            <w:r>
              <w:rPr>
                <w:sz w:val="18"/>
              </w:rPr>
              <w:t>31</w:t>
            </w:r>
          </w:p>
        </w:tc>
        <w:tc>
          <w:tcPr>
            <w:tcW w:w="3180" w:type="dxa"/>
            <w:tcMar>
              <w:top w:w="0" w:type="dxa"/>
              <w:bottom w:w="0" w:type="dxa"/>
            </w:tcMar>
            <w:vAlign w:val="center"/>
          </w:tcPr>
          <w:p>
            <w:pPr>
              <w:keepNext/>
              <w:keepLines/>
              <w:spacing w:after="0" w:line="240" w:lineRule="auto"/>
            </w:pPr>
            <w:r>
              <w:rPr>
                <w:sz w:val="18"/>
              </w:rPr>
              <w:t>Rashodi za zaposlene (šifre 311+312+313)</w:t>
            </w:r>
          </w:p>
        </w:tc>
        <w:tc>
          <w:tcPr>
            <w:tcW w:w="700" w:type="dxa"/>
            <w:tcMar>
              <w:top w:w="0" w:type="dxa"/>
              <w:bottom w:w="0" w:type="dxa"/>
            </w:tcMar>
            <w:vAlign w:val="center"/>
          </w:tcPr>
          <w:p>
            <w:pPr>
              <w:keepNext/>
              <w:keepLines/>
              <w:spacing w:after="0" w:line="240" w:lineRule="auto"/>
            </w:pPr>
            <w:r>
              <w:rPr>
                <w:sz w:val="18"/>
              </w:rPr>
              <w:t>31</w:t>
            </w:r>
          </w:p>
        </w:tc>
        <w:tc>
          <w:tcPr>
            <w:tcW w:w="1860" w:type="dxa"/>
            <w:tcMar>
              <w:top w:w="0" w:type="dxa"/>
              <w:bottom w:w="0" w:type="dxa"/>
            </w:tcMar>
            <w:vAlign w:val="center"/>
          </w:tcPr>
          <w:p>
            <w:pPr>
              <w:keepNext/>
              <w:keepLines/>
              <w:spacing w:after="0" w:line="240" w:lineRule="auto"/>
              <w:jc w:val="right"/>
            </w:pPr>
            <w:r>
              <w:rPr>
                <w:sz w:val="18"/>
              </w:rPr>
              <w:t>296.799,47</w:t>
            </w:r>
          </w:p>
        </w:tc>
        <w:tc>
          <w:tcPr>
            <w:tcW w:w="1860" w:type="dxa"/>
            <w:tcMar>
              <w:top w:w="0" w:type="dxa"/>
              <w:bottom w:w="0" w:type="dxa"/>
            </w:tcMar>
            <w:vAlign w:val="center"/>
          </w:tcPr>
          <w:p>
            <w:pPr>
              <w:keepNext/>
              <w:keepLines/>
              <w:spacing w:after="0" w:line="240" w:lineRule="auto"/>
              <w:jc w:val="right"/>
            </w:pPr>
            <w:r>
              <w:rPr>
                <w:sz w:val="18"/>
              </w:rPr>
              <w:t>425.309,48</w:t>
            </w:r>
          </w:p>
        </w:tc>
        <w:tc>
          <w:tcPr>
            <w:tcW w:w="700" w:type="dxa"/>
            <w:tcMar>
              <w:top w:w="0" w:type="dxa"/>
              <w:bottom w:w="0" w:type="dxa"/>
            </w:tcMar>
            <w:vAlign w:val="center"/>
          </w:tcPr>
          <w:p>
            <w:pPr>
              <w:keepNext/>
              <w:keepLines/>
              <w:spacing w:after="0" w:line="240" w:lineRule="auto"/>
              <w:jc w:val="right"/>
            </w:pPr>
            <w:r>
              <w:rPr>
                <w:sz w:val="18"/>
              </w:rPr>
              <w:t>143,3</w:t>
            </w:r>
          </w:p>
        </w:tc>
      </w:tr>
    </w:tbl>
    <w:p>
      <w:pPr>
        <w:spacing w:after="0"/>
      </w:pPr>
    </w:p>
    <w:p>
      <w:r>
        <w:t>Povećanje rashoda zbog povećanja plaća i provedbe projekta Zaželi kroz cijelu godinu.</w:t>
      </w:r>
    </w:p>
    <w:p/>
    <w:p>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tblPrEx>
          <w:tblCellMar>
            <w:top w:w="0" w:type="dxa"/>
            <w:bottom w:w="0" w:type="dxa"/>
          </w:tblCellMar>
        </w:tblPrEx>
        <w:trPr>
          <w:cantSplit/>
        </w:trPr>
        <w:tc>
          <w:tcPr>
            <w:tcW w:w="700" w:type="dxa"/>
            <w:shd w:val="clear" w:color="auto" w:fill="E7F0F9"/>
            <w:tcMar>
              <w:top w:w="0" w:type="dxa"/>
              <w:bottom w:w="0" w:type="dxa"/>
            </w:tcMar>
            <w:vAlign w:val="center"/>
          </w:tcPr>
          <w:p>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pPr>
              <w:keepNext/>
              <w:keepLines/>
              <w:spacing w:after="0" w:line="240" w:lineRule="auto"/>
              <w:jc w:val="center"/>
            </w:pPr>
            <w:r>
              <w:rPr>
                <w:b/>
                <w:sz w:val="18"/>
              </w:rPr>
              <w:t>Indeks (%)</w:t>
            </w:r>
          </w:p>
        </w:tc>
      </w:tr>
      <w:tr>
        <w:tblPrEx>
          <w:tblCellMar>
            <w:top w:w="0" w:type="dxa"/>
            <w:bottom w:w="0" w:type="dxa"/>
          </w:tblCellMar>
        </w:tblPrEx>
        <w:trPr>
          <w:cantSplit/>
          <w:trHeight w:val="560"/>
        </w:trPr>
        <w:tc>
          <w:tcPr>
            <w:tcW w:w="700" w:type="dxa"/>
            <w:tcMar>
              <w:top w:w="0" w:type="dxa"/>
              <w:bottom w:w="0" w:type="dxa"/>
            </w:tcMar>
            <w:vAlign w:val="center"/>
          </w:tcPr>
          <w:p>
            <w:pPr>
              <w:keepNext/>
              <w:keepLines/>
              <w:spacing w:after="0" w:line="240" w:lineRule="auto"/>
            </w:pPr>
            <w:r>
              <w:rPr>
                <w:sz w:val="18"/>
              </w:rPr>
              <w:t>3233</w:t>
            </w:r>
          </w:p>
        </w:tc>
        <w:tc>
          <w:tcPr>
            <w:tcW w:w="3180" w:type="dxa"/>
            <w:tcMar>
              <w:top w:w="0" w:type="dxa"/>
              <w:bottom w:w="0" w:type="dxa"/>
            </w:tcMar>
            <w:vAlign w:val="center"/>
          </w:tcPr>
          <w:p>
            <w:pPr>
              <w:keepNext/>
              <w:keepLines/>
              <w:spacing w:after="0" w:line="240" w:lineRule="auto"/>
            </w:pPr>
            <w:r>
              <w:rPr>
                <w:sz w:val="18"/>
              </w:rPr>
              <w:t>Usluge promidžbe i informiranja</w:t>
            </w:r>
          </w:p>
        </w:tc>
        <w:tc>
          <w:tcPr>
            <w:tcW w:w="700" w:type="dxa"/>
            <w:tcMar>
              <w:top w:w="0" w:type="dxa"/>
              <w:bottom w:w="0" w:type="dxa"/>
            </w:tcMar>
            <w:vAlign w:val="center"/>
          </w:tcPr>
          <w:p>
            <w:pPr>
              <w:keepNext/>
              <w:keepLines/>
              <w:spacing w:after="0" w:line="240" w:lineRule="auto"/>
            </w:pPr>
            <w:r>
              <w:rPr>
                <w:sz w:val="18"/>
              </w:rPr>
              <w:t>3233</w:t>
            </w:r>
          </w:p>
        </w:tc>
        <w:tc>
          <w:tcPr>
            <w:tcW w:w="1860" w:type="dxa"/>
            <w:tcMar>
              <w:top w:w="0" w:type="dxa"/>
              <w:bottom w:w="0" w:type="dxa"/>
            </w:tcMar>
            <w:vAlign w:val="center"/>
          </w:tcPr>
          <w:p>
            <w:pPr>
              <w:keepNext/>
              <w:keepLines/>
              <w:spacing w:after="0" w:line="240" w:lineRule="auto"/>
              <w:jc w:val="right"/>
            </w:pPr>
            <w:r>
              <w:rPr>
                <w:sz w:val="18"/>
              </w:rPr>
              <w:t>1.589,97</w:t>
            </w:r>
          </w:p>
        </w:tc>
        <w:tc>
          <w:tcPr>
            <w:tcW w:w="1860" w:type="dxa"/>
            <w:tcMar>
              <w:top w:w="0" w:type="dxa"/>
              <w:bottom w:w="0" w:type="dxa"/>
            </w:tcMar>
            <w:vAlign w:val="center"/>
          </w:tcPr>
          <w:p>
            <w:pPr>
              <w:keepNext/>
              <w:keepLines/>
              <w:spacing w:after="0" w:line="240" w:lineRule="auto"/>
              <w:jc w:val="right"/>
            </w:pPr>
            <w:r>
              <w:rPr>
                <w:sz w:val="18"/>
              </w:rPr>
              <w:t>9.030,77</w:t>
            </w:r>
          </w:p>
        </w:tc>
        <w:tc>
          <w:tcPr>
            <w:tcW w:w="700" w:type="dxa"/>
            <w:tcMar>
              <w:top w:w="0" w:type="dxa"/>
              <w:bottom w:w="0" w:type="dxa"/>
            </w:tcMar>
            <w:vAlign w:val="center"/>
          </w:tcPr>
          <w:p>
            <w:pPr>
              <w:keepNext/>
              <w:keepLines/>
              <w:spacing w:after="0" w:line="240" w:lineRule="auto"/>
              <w:jc w:val="right"/>
            </w:pPr>
            <w:r>
              <w:rPr>
                <w:sz w:val="18"/>
              </w:rPr>
              <w:t>568,0</w:t>
            </w:r>
          </w:p>
        </w:tc>
      </w:tr>
    </w:tbl>
    <w:p>
      <w:pPr>
        <w:spacing w:after="0"/>
      </w:pPr>
    </w:p>
    <w:p>
      <w:r>
        <w:t>Povećanje rashoda zbog objave kandidacijskih lista za provedbu lokalnih izbora.</w:t>
      </w:r>
    </w:p>
    <w:p/>
    <w:p>
      <w:pPr>
        <w:keepNext/>
        <w:spacing w:line="240" w:lineRule="auto"/>
        <w:jc w:val="center"/>
      </w:pPr>
      <w:r>
        <w:rPr>
          <w:sz w:val="28"/>
        </w:rPr>
        <w:lastRenderedPageBreak/>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tblPrEx>
          <w:tblCellMar>
            <w:top w:w="0" w:type="dxa"/>
            <w:bottom w:w="0" w:type="dxa"/>
          </w:tblCellMar>
        </w:tblPrEx>
        <w:trPr>
          <w:cantSplit/>
        </w:trPr>
        <w:tc>
          <w:tcPr>
            <w:tcW w:w="700" w:type="dxa"/>
            <w:shd w:val="clear" w:color="auto" w:fill="E7F0F9"/>
            <w:tcMar>
              <w:top w:w="0" w:type="dxa"/>
              <w:bottom w:w="0" w:type="dxa"/>
            </w:tcMar>
            <w:vAlign w:val="center"/>
          </w:tcPr>
          <w:p>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pPr>
              <w:keepNext/>
              <w:keepLines/>
              <w:spacing w:after="0" w:line="240" w:lineRule="auto"/>
              <w:jc w:val="center"/>
            </w:pPr>
            <w:r>
              <w:rPr>
                <w:b/>
                <w:sz w:val="18"/>
              </w:rPr>
              <w:t>Indeks (%)</w:t>
            </w:r>
          </w:p>
        </w:tc>
      </w:tr>
      <w:tr>
        <w:tblPrEx>
          <w:tblCellMar>
            <w:top w:w="0" w:type="dxa"/>
            <w:bottom w:w="0" w:type="dxa"/>
          </w:tblCellMar>
        </w:tblPrEx>
        <w:trPr>
          <w:cantSplit/>
          <w:trHeight w:val="560"/>
        </w:trPr>
        <w:tc>
          <w:tcPr>
            <w:tcW w:w="700" w:type="dxa"/>
            <w:tcMar>
              <w:top w:w="0" w:type="dxa"/>
              <w:bottom w:w="0" w:type="dxa"/>
            </w:tcMar>
            <w:vAlign w:val="center"/>
          </w:tcPr>
          <w:p>
            <w:pPr>
              <w:keepNext/>
              <w:keepLines/>
              <w:spacing w:after="0" w:line="240" w:lineRule="auto"/>
            </w:pPr>
            <w:r>
              <w:rPr>
                <w:sz w:val="18"/>
              </w:rPr>
              <w:t>329</w:t>
            </w:r>
          </w:p>
        </w:tc>
        <w:tc>
          <w:tcPr>
            <w:tcW w:w="3180" w:type="dxa"/>
            <w:tcMar>
              <w:top w:w="0" w:type="dxa"/>
              <w:bottom w:w="0" w:type="dxa"/>
            </w:tcMar>
            <w:vAlign w:val="center"/>
          </w:tcPr>
          <w:p>
            <w:pPr>
              <w:keepNext/>
              <w:keepLines/>
              <w:spacing w:after="0" w:line="240" w:lineRule="auto"/>
            </w:pPr>
            <w:r>
              <w:rPr>
                <w:sz w:val="18"/>
              </w:rPr>
              <w:t>Ostali nespomenuti rashodi poslovanja (šifre 3291 do 3299)</w:t>
            </w:r>
          </w:p>
        </w:tc>
        <w:tc>
          <w:tcPr>
            <w:tcW w:w="700" w:type="dxa"/>
            <w:tcMar>
              <w:top w:w="0" w:type="dxa"/>
              <w:bottom w:w="0" w:type="dxa"/>
            </w:tcMar>
            <w:vAlign w:val="center"/>
          </w:tcPr>
          <w:p>
            <w:pPr>
              <w:keepNext/>
              <w:keepLines/>
              <w:spacing w:after="0" w:line="240" w:lineRule="auto"/>
            </w:pPr>
            <w:r>
              <w:rPr>
                <w:sz w:val="18"/>
              </w:rPr>
              <w:t>329</w:t>
            </w:r>
          </w:p>
        </w:tc>
        <w:tc>
          <w:tcPr>
            <w:tcW w:w="1860" w:type="dxa"/>
            <w:tcMar>
              <w:top w:w="0" w:type="dxa"/>
              <w:bottom w:w="0" w:type="dxa"/>
            </w:tcMar>
            <w:vAlign w:val="center"/>
          </w:tcPr>
          <w:p>
            <w:pPr>
              <w:keepNext/>
              <w:keepLines/>
              <w:spacing w:after="0" w:line="240" w:lineRule="auto"/>
              <w:jc w:val="right"/>
            </w:pPr>
            <w:r>
              <w:rPr>
                <w:sz w:val="18"/>
              </w:rPr>
              <w:t>26.360,90</w:t>
            </w:r>
          </w:p>
        </w:tc>
        <w:tc>
          <w:tcPr>
            <w:tcW w:w="1860" w:type="dxa"/>
            <w:tcMar>
              <w:top w:w="0" w:type="dxa"/>
              <w:bottom w:w="0" w:type="dxa"/>
            </w:tcMar>
            <w:vAlign w:val="center"/>
          </w:tcPr>
          <w:p>
            <w:pPr>
              <w:keepNext/>
              <w:keepLines/>
              <w:spacing w:after="0" w:line="240" w:lineRule="auto"/>
              <w:jc w:val="right"/>
            </w:pPr>
            <w:r>
              <w:rPr>
                <w:sz w:val="18"/>
              </w:rPr>
              <w:t>63.578,61</w:t>
            </w:r>
          </w:p>
        </w:tc>
        <w:tc>
          <w:tcPr>
            <w:tcW w:w="700" w:type="dxa"/>
            <w:tcMar>
              <w:top w:w="0" w:type="dxa"/>
              <w:bottom w:w="0" w:type="dxa"/>
            </w:tcMar>
            <w:vAlign w:val="center"/>
          </w:tcPr>
          <w:p>
            <w:pPr>
              <w:keepNext/>
              <w:keepLines/>
              <w:spacing w:after="0" w:line="240" w:lineRule="auto"/>
              <w:jc w:val="right"/>
            </w:pPr>
            <w:r>
              <w:rPr>
                <w:sz w:val="18"/>
              </w:rPr>
              <w:t>241,2</w:t>
            </w:r>
          </w:p>
        </w:tc>
      </w:tr>
    </w:tbl>
    <w:p>
      <w:pPr>
        <w:spacing w:after="0"/>
      </w:pPr>
    </w:p>
    <w:p>
      <w:r>
        <w:t>Povećanje rashoda zbog provedbe lokalnih izbora.</w:t>
      </w:r>
    </w:p>
    <w:p/>
    <w:p>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tblPrEx>
          <w:tblCellMar>
            <w:top w:w="0" w:type="dxa"/>
            <w:bottom w:w="0" w:type="dxa"/>
          </w:tblCellMar>
        </w:tblPrEx>
        <w:trPr>
          <w:cantSplit/>
        </w:trPr>
        <w:tc>
          <w:tcPr>
            <w:tcW w:w="700" w:type="dxa"/>
            <w:shd w:val="clear" w:color="auto" w:fill="E7F0F9"/>
            <w:tcMar>
              <w:top w:w="0" w:type="dxa"/>
              <w:bottom w:w="0" w:type="dxa"/>
            </w:tcMar>
            <w:vAlign w:val="center"/>
          </w:tcPr>
          <w:p>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pPr>
              <w:keepNext/>
              <w:keepLines/>
              <w:spacing w:after="0" w:line="240" w:lineRule="auto"/>
              <w:jc w:val="center"/>
            </w:pPr>
            <w:r>
              <w:rPr>
                <w:b/>
                <w:sz w:val="18"/>
              </w:rPr>
              <w:t>Indeks (%)</w:t>
            </w:r>
          </w:p>
        </w:tc>
      </w:tr>
      <w:tr>
        <w:tblPrEx>
          <w:tblCellMar>
            <w:top w:w="0" w:type="dxa"/>
            <w:bottom w:w="0" w:type="dxa"/>
          </w:tblCellMar>
        </w:tblPrEx>
        <w:trPr>
          <w:cantSplit/>
          <w:trHeight w:val="560"/>
        </w:trPr>
        <w:tc>
          <w:tcPr>
            <w:tcW w:w="700" w:type="dxa"/>
            <w:tcMar>
              <w:top w:w="0" w:type="dxa"/>
              <w:bottom w:w="0" w:type="dxa"/>
            </w:tcMar>
            <w:vAlign w:val="center"/>
          </w:tcPr>
          <w:p>
            <w:pPr>
              <w:keepNext/>
              <w:keepLines/>
              <w:spacing w:after="0" w:line="240" w:lineRule="auto"/>
            </w:pPr>
            <w:r>
              <w:rPr>
                <w:sz w:val="18"/>
              </w:rPr>
              <w:t>372</w:t>
            </w:r>
          </w:p>
        </w:tc>
        <w:tc>
          <w:tcPr>
            <w:tcW w:w="3180" w:type="dxa"/>
            <w:tcMar>
              <w:top w:w="0" w:type="dxa"/>
              <w:bottom w:w="0" w:type="dxa"/>
            </w:tcMar>
            <w:vAlign w:val="center"/>
          </w:tcPr>
          <w:p>
            <w:pPr>
              <w:keepNext/>
              <w:keepLines/>
              <w:spacing w:after="0" w:line="240" w:lineRule="auto"/>
            </w:pPr>
            <w:r>
              <w:rPr>
                <w:sz w:val="18"/>
              </w:rPr>
              <w:t>Ostale naknade građanima i kućanstvima iz proračuna (šifre 3721 do 3723)</w:t>
            </w:r>
          </w:p>
        </w:tc>
        <w:tc>
          <w:tcPr>
            <w:tcW w:w="700" w:type="dxa"/>
            <w:tcMar>
              <w:top w:w="0" w:type="dxa"/>
              <w:bottom w:w="0" w:type="dxa"/>
            </w:tcMar>
            <w:vAlign w:val="center"/>
          </w:tcPr>
          <w:p>
            <w:pPr>
              <w:keepNext/>
              <w:keepLines/>
              <w:spacing w:after="0" w:line="240" w:lineRule="auto"/>
            </w:pPr>
            <w:r>
              <w:rPr>
                <w:sz w:val="18"/>
              </w:rPr>
              <w:t>372</w:t>
            </w:r>
          </w:p>
        </w:tc>
        <w:tc>
          <w:tcPr>
            <w:tcW w:w="1860" w:type="dxa"/>
            <w:tcMar>
              <w:top w:w="0" w:type="dxa"/>
              <w:bottom w:w="0" w:type="dxa"/>
            </w:tcMar>
            <w:vAlign w:val="center"/>
          </w:tcPr>
          <w:p>
            <w:pPr>
              <w:keepNext/>
              <w:keepLines/>
              <w:spacing w:after="0" w:line="240" w:lineRule="auto"/>
              <w:jc w:val="right"/>
            </w:pPr>
            <w:r>
              <w:rPr>
                <w:sz w:val="18"/>
              </w:rPr>
              <w:t>54.447,24</w:t>
            </w:r>
          </w:p>
        </w:tc>
        <w:tc>
          <w:tcPr>
            <w:tcW w:w="1860" w:type="dxa"/>
            <w:tcMar>
              <w:top w:w="0" w:type="dxa"/>
              <w:bottom w:w="0" w:type="dxa"/>
            </w:tcMar>
            <w:vAlign w:val="center"/>
          </w:tcPr>
          <w:p>
            <w:pPr>
              <w:keepNext/>
              <w:keepLines/>
              <w:spacing w:after="0" w:line="240" w:lineRule="auto"/>
              <w:jc w:val="right"/>
            </w:pPr>
            <w:r>
              <w:rPr>
                <w:sz w:val="18"/>
              </w:rPr>
              <w:t>96.675,64</w:t>
            </w:r>
          </w:p>
        </w:tc>
        <w:tc>
          <w:tcPr>
            <w:tcW w:w="700" w:type="dxa"/>
            <w:tcMar>
              <w:top w:w="0" w:type="dxa"/>
              <w:bottom w:w="0" w:type="dxa"/>
            </w:tcMar>
            <w:vAlign w:val="center"/>
          </w:tcPr>
          <w:p>
            <w:pPr>
              <w:keepNext/>
              <w:keepLines/>
              <w:spacing w:after="0" w:line="240" w:lineRule="auto"/>
              <w:jc w:val="right"/>
            </w:pPr>
            <w:r>
              <w:rPr>
                <w:sz w:val="18"/>
              </w:rPr>
              <w:t>177,6</w:t>
            </w:r>
          </w:p>
        </w:tc>
      </w:tr>
    </w:tbl>
    <w:p>
      <w:pPr>
        <w:spacing w:after="0"/>
      </w:pPr>
    </w:p>
    <w:p>
      <w:r>
        <w:t xml:space="preserve">Povećanje zbog povećanja subvencije Zagrebačke županije za provedbu projekta Pomoć u kući i isplate </w:t>
      </w:r>
      <w:proofErr w:type="spellStart"/>
      <w:r>
        <w:t>uskrsnice</w:t>
      </w:r>
      <w:proofErr w:type="spellEnd"/>
      <w:r>
        <w:t xml:space="preserve"> umirovljenicima.</w:t>
      </w:r>
    </w:p>
    <w:p/>
    <w:p>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tblPrEx>
          <w:tblCellMar>
            <w:top w:w="0" w:type="dxa"/>
            <w:bottom w:w="0" w:type="dxa"/>
          </w:tblCellMar>
        </w:tblPrEx>
        <w:trPr>
          <w:cantSplit/>
        </w:trPr>
        <w:tc>
          <w:tcPr>
            <w:tcW w:w="700" w:type="dxa"/>
            <w:shd w:val="clear" w:color="auto" w:fill="E7F0F9"/>
            <w:tcMar>
              <w:top w:w="0" w:type="dxa"/>
              <w:bottom w:w="0" w:type="dxa"/>
            </w:tcMar>
            <w:vAlign w:val="center"/>
          </w:tcPr>
          <w:p>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pPr>
              <w:keepNext/>
              <w:keepLines/>
              <w:spacing w:after="0" w:line="240" w:lineRule="auto"/>
              <w:jc w:val="center"/>
            </w:pPr>
            <w:r>
              <w:rPr>
                <w:b/>
                <w:sz w:val="18"/>
              </w:rPr>
              <w:t>Indeks (%)</w:t>
            </w:r>
          </w:p>
        </w:tc>
      </w:tr>
      <w:tr>
        <w:tblPrEx>
          <w:tblCellMar>
            <w:top w:w="0" w:type="dxa"/>
            <w:bottom w:w="0" w:type="dxa"/>
          </w:tblCellMar>
        </w:tblPrEx>
        <w:trPr>
          <w:cantSplit/>
          <w:trHeight w:val="560"/>
        </w:trPr>
        <w:tc>
          <w:tcPr>
            <w:tcW w:w="700" w:type="dxa"/>
            <w:tcMar>
              <w:top w:w="0" w:type="dxa"/>
              <w:bottom w:w="0" w:type="dxa"/>
            </w:tcMar>
            <w:vAlign w:val="center"/>
          </w:tcPr>
          <w:p>
            <w:pPr>
              <w:keepNext/>
              <w:keepLines/>
              <w:spacing w:after="0" w:line="240" w:lineRule="auto"/>
            </w:pPr>
            <w:r>
              <w:rPr>
                <w:sz w:val="18"/>
              </w:rPr>
              <w:t>3812</w:t>
            </w:r>
          </w:p>
        </w:tc>
        <w:tc>
          <w:tcPr>
            <w:tcW w:w="3180" w:type="dxa"/>
            <w:tcMar>
              <w:top w:w="0" w:type="dxa"/>
              <w:bottom w:w="0" w:type="dxa"/>
            </w:tcMar>
            <w:vAlign w:val="center"/>
          </w:tcPr>
          <w:p>
            <w:pPr>
              <w:keepNext/>
              <w:keepLines/>
              <w:spacing w:after="0" w:line="240" w:lineRule="auto"/>
            </w:pPr>
            <w:r>
              <w:rPr>
                <w:sz w:val="18"/>
              </w:rPr>
              <w:t>Tekuće donacije u naravi</w:t>
            </w:r>
          </w:p>
        </w:tc>
        <w:tc>
          <w:tcPr>
            <w:tcW w:w="700" w:type="dxa"/>
            <w:tcMar>
              <w:top w:w="0" w:type="dxa"/>
              <w:bottom w:w="0" w:type="dxa"/>
            </w:tcMar>
            <w:vAlign w:val="center"/>
          </w:tcPr>
          <w:p>
            <w:pPr>
              <w:keepNext/>
              <w:keepLines/>
              <w:spacing w:after="0" w:line="240" w:lineRule="auto"/>
            </w:pPr>
            <w:r>
              <w:rPr>
                <w:sz w:val="18"/>
              </w:rPr>
              <w:t>3812</w:t>
            </w:r>
          </w:p>
        </w:tc>
        <w:tc>
          <w:tcPr>
            <w:tcW w:w="1860" w:type="dxa"/>
            <w:tcMar>
              <w:top w:w="0" w:type="dxa"/>
              <w:bottom w:w="0" w:type="dxa"/>
            </w:tcMar>
            <w:vAlign w:val="center"/>
          </w:tcPr>
          <w:p>
            <w:pPr>
              <w:keepNext/>
              <w:keepLines/>
              <w:spacing w:after="0" w:line="240" w:lineRule="auto"/>
              <w:jc w:val="right"/>
            </w:pPr>
            <w:r>
              <w:rPr>
                <w:sz w:val="18"/>
              </w:rPr>
              <w:t>1.649,09</w:t>
            </w:r>
          </w:p>
        </w:tc>
        <w:tc>
          <w:tcPr>
            <w:tcW w:w="1860" w:type="dxa"/>
            <w:tcMar>
              <w:top w:w="0" w:type="dxa"/>
              <w:bottom w:w="0" w:type="dxa"/>
            </w:tcMar>
            <w:vAlign w:val="center"/>
          </w:tcPr>
          <w:p>
            <w:pPr>
              <w:keepNext/>
              <w:keepLines/>
              <w:spacing w:after="0" w:line="240" w:lineRule="auto"/>
              <w:jc w:val="right"/>
            </w:pPr>
            <w:r>
              <w:rPr>
                <w:sz w:val="18"/>
              </w:rPr>
              <w:t>67.318,79</w:t>
            </w:r>
          </w:p>
        </w:tc>
        <w:tc>
          <w:tcPr>
            <w:tcW w:w="700" w:type="dxa"/>
            <w:tcMar>
              <w:top w:w="0" w:type="dxa"/>
              <w:bottom w:w="0" w:type="dxa"/>
            </w:tcMar>
            <w:vAlign w:val="center"/>
          </w:tcPr>
          <w:p>
            <w:pPr>
              <w:keepNext/>
              <w:keepLines/>
              <w:spacing w:after="0" w:line="240" w:lineRule="auto"/>
              <w:jc w:val="right"/>
            </w:pPr>
            <w:r>
              <w:rPr>
                <w:sz w:val="18"/>
              </w:rPr>
              <w:t>4082,2</w:t>
            </w:r>
          </w:p>
        </w:tc>
      </w:tr>
    </w:tbl>
    <w:p>
      <w:pPr>
        <w:spacing w:after="0"/>
      </w:pPr>
    </w:p>
    <w:p>
      <w:r>
        <w:t>Isplata poticajne naknade za liječnicu opće prakse i medicinsku sestru i sufinanciranje troškova priključaka na vodoopskrbni sustav.</w:t>
      </w:r>
    </w:p>
    <w:p/>
    <w:p>
      <w:pPr>
        <w:keepNext/>
        <w:spacing w:line="240" w:lineRule="auto"/>
        <w:jc w:val="center"/>
      </w:pPr>
      <w:r>
        <w:rPr>
          <w:b/>
          <w:sz w:val="28"/>
        </w:rPr>
        <w:t>Bilanca</w:t>
      </w:r>
    </w:p>
    <w:p>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tblPrEx>
          <w:tblCellMar>
            <w:top w:w="0" w:type="dxa"/>
            <w:bottom w:w="0" w:type="dxa"/>
          </w:tblCellMar>
        </w:tblPrEx>
        <w:trPr>
          <w:cantSplit/>
        </w:trPr>
        <w:tc>
          <w:tcPr>
            <w:tcW w:w="700" w:type="dxa"/>
            <w:shd w:val="clear" w:color="auto" w:fill="E7F0F9"/>
            <w:tcMar>
              <w:top w:w="0" w:type="dxa"/>
              <w:bottom w:w="0" w:type="dxa"/>
            </w:tcMar>
            <w:vAlign w:val="center"/>
          </w:tcPr>
          <w:p>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pPr>
              <w:keepNext/>
              <w:keepLines/>
              <w:spacing w:after="0" w:line="240" w:lineRule="auto"/>
              <w:jc w:val="center"/>
            </w:pPr>
            <w:r>
              <w:rPr>
                <w:b/>
                <w:sz w:val="18"/>
              </w:rPr>
              <w:t>Indeks (%)</w:t>
            </w:r>
          </w:p>
        </w:tc>
      </w:tr>
      <w:tr>
        <w:tblPrEx>
          <w:tblCellMar>
            <w:top w:w="0" w:type="dxa"/>
            <w:bottom w:w="0" w:type="dxa"/>
          </w:tblCellMar>
        </w:tblPrEx>
        <w:trPr>
          <w:cantSplit/>
          <w:trHeight w:val="560"/>
        </w:trPr>
        <w:tc>
          <w:tcPr>
            <w:tcW w:w="700" w:type="dxa"/>
            <w:tcMar>
              <w:top w:w="0" w:type="dxa"/>
              <w:bottom w:w="0" w:type="dxa"/>
            </w:tcMar>
            <w:vAlign w:val="center"/>
          </w:tcPr>
          <w:p>
            <w:pPr>
              <w:keepNext/>
              <w:keepLines/>
              <w:spacing w:after="0" w:line="240" w:lineRule="auto"/>
            </w:pPr>
            <w:r>
              <w:rPr>
                <w:sz w:val="18"/>
              </w:rPr>
              <w:t>0222</w:t>
            </w:r>
          </w:p>
        </w:tc>
        <w:tc>
          <w:tcPr>
            <w:tcW w:w="3180" w:type="dxa"/>
            <w:tcMar>
              <w:top w:w="0" w:type="dxa"/>
              <w:bottom w:w="0" w:type="dxa"/>
            </w:tcMar>
            <w:vAlign w:val="center"/>
          </w:tcPr>
          <w:p>
            <w:pPr>
              <w:keepNext/>
              <w:keepLines/>
              <w:spacing w:after="0" w:line="240" w:lineRule="auto"/>
            </w:pPr>
            <w:r>
              <w:rPr>
                <w:sz w:val="18"/>
              </w:rPr>
              <w:t>Komunikacijska oprema</w:t>
            </w:r>
          </w:p>
        </w:tc>
        <w:tc>
          <w:tcPr>
            <w:tcW w:w="700" w:type="dxa"/>
            <w:tcMar>
              <w:top w:w="0" w:type="dxa"/>
              <w:bottom w:w="0" w:type="dxa"/>
            </w:tcMar>
            <w:vAlign w:val="center"/>
          </w:tcPr>
          <w:p>
            <w:pPr>
              <w:keepNext/>
              <w:keepLines/>
              <w:spacing w:after="0" w:line="240" w:lineRule="auto"/>
            </w:pPr>
            <w:r>
              <w:rPr>
                <w:sz w:val="18"/>
              </w:rPr>
              <w:t>0222</w:t>
            </w:r>
          </w:p>
        </w:tc>
        <w:tc>
          <w:tcPr>
            <w:tcW w:w="1860" w:type="dxa"/>
            <w:tcMar>
              <w:top w:w="0" w:type="dxa"/>
              <w:bottom w:w="0" w:type="dxa"/>
            </w:tcMar>
            <w:vAlign w:val="center"/>
          </w:tcPr>
          <w:p>
            <w:pPr>
              <w:keepNext/>
              <w:keepLines/>
              <w:spacing w:after="0" w:line="240" w:lineRule="auto"/>
              <w:jc w:val="right"/>
            </w:pPr>
            <w:r>
              <w:rPr>
                <w:sz w:val="18"/>
              </w:rPr>
              <w:t>33.785,00</w:t>
            </w:r>
          </w:p>
        </w:tc>
        <w:tc>
          <w:tcPr>
            <w:tcW w:w="1860" w:type="dxa"/>
            <w:tcMar>
              <w:top w:w="0" w:type="dxa"/>
              <w:bottom w:w="0" w:type="dxa"/>
            </w:tcMar>
            <w:vAlign w:val="center"/>
          </w:tcPr>
          <w:p>
            <w:pPr>
              <w:keepNext/>
              <w:keepLines/>
              <w:spacing w:after="0" w:line="240" w:lineRule="auto"/>
              <w:jc w:val="right"/>
            </w:pPr>
            <w:r>
              <w:rPr>
                <w:sz w:val="18"/>
              </w:rPr>
              <w:t>29.824,07</w:t>
            </w:r>
          </w:p>
        </w:tc>
        <w:tc>
          <w:tcPr>
            <w:tcW w:w="700" w:type="dxa"/>
            <w:tcMar>
              <w:top w:w="0" w:type="dxa"/>
              <w:bottom w:w="0" w:type="dxa"/>
            </w:tcMar>
            <w:vAlign w:val="center"/>
          </w:tcPr>
          <w:p>
            <w:pPr>
              <w:keepNext/>
              <w:keepLines/>
              <w:spacing w:after="0" w:line="240" w:lineRule="auto"/>
              <w:jc w:val="right"/>
            </w:pPr>
            <w:r>
              <w:rPr>
                <w:sz w:val="18"/>
              </w:rPr>
              <w:t>88,3</w:t>
            </w:r>
          </w:p>
        </w:tc>
      </w:tr>
    </w:tbl>
    <w:p>
      <w:pPr>
        <w:spacing w:after="0"/>
      </w:pPr>
    </w:p>
    <w:p>
      <w:r>
        <w:t xml:space="preserve">Smanjenje na kontu komunikacijske opreme zbog </w:t>
      </w:r>
      <w:proofErr w:type="spellStart"/>
      <w:r>
        <w:t>isknjiženja</w:t>
      </w:r>
      <w:proofErr w:type="spellEnd"/>
      <w:r>
        <w:t xml:space="preserve"> darovane komunikacijske opreme.</w:t>
      </w:r>
    </w:p>
    <w:p/>
    <w:p>
      <w:pPr>
        <w:keepNext/>
        <w:spacing w:line="240" w:lineRule="auto"/>
        <w:jc w:val="center"/>
      </w:pPr>
      <w:r>
        <w:rPr>
          <w:sz w:val="28"/>
        </w:rPr>
        <w:lastRenderedPageBreak/>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tblPrEx>
          <w:tblCellMar>
            <w:top w:w="0" w:type="dxa"/>
            <w:bottom w:w="0" w:type="dxa"/>
          </w:tblCellMar>
        </w:tblPrEx>
        <w:trPr>
          <w:cantSplit/>
        </w:trPr>
        <w:tc>
          <w:tcPr>
            <w:tcW w:w="700" w:type="dxa"/>
            <w:shd w:val="clear" w:color="auto" w:fill="E7F0F9"/>
            <w:tcMar>
              <w:top w:w="0" w:type="dxa"/>
              <w:bottom w:w="0" w:type="dxa"/>
            </w:tcMar>
            <w:vAlign w:val="center"/>
          </w:tcPr>
          <w:p>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pPr>
              <w:keepNext/>
              <w:keepLines/>
              <w:spacing w:after="0" w:line="240" w:lineRule="auto"/>
              <w:jc w:val="center"/>
            </w:pPr>
            <w:r>
              <w:rPr>
                <w:b/>
                <w:sz w:val="18"/>
              </w:rPr>
              <w:t>Indeks (%)</w:t>
            </w:r>
          </w:p>
        </w:tc>
      </w:tr>
      <w:tr>
        <w:tblPrEx>
          <w:tblCellMar>
            <w:top w:w="0" w:type="dxa"/>
            <w:bottom w:w="0" w:type="dxa"/>
          </w:tblCellMar>
        </w:tblPrEx>
        <w:trPr>
          <w:cantSplit/>
          <w:trHeight w:val="560"/>
        </w:trPr>
        <w:tc>
          <w:tcPr>
            <w:tcW w:w="700" w:type="dxa"/>
            <w:tcMar>
              <w:top w:w="0" w:type="dxa"/>
              <w:bottom w:w="0" w:type="dxa"/>
            </w:tcMar>
            <w:vAlign w:val="center"/>
          </w:tcPr>
          <w:p>
            <w:pPr>
              <w:keepNext/>
              <w:keepLines/>
              <w:spacing w:after="0" w:line="240" w:lineRule="auto"/>
            </w:pPr>
            <w:r>
              <w:rPr>
                <w:sz w:val="18"/>
              </w:rPr>
              <w:t>0227</w:t>
            </w:r>
          </w:p>
        </w:tc>
        <w:tc>
          <w:tcPr>
            <w:tcW w:w="3180" w:type="dxa"/>
            <w:tcMar>
              <w:top w:w="0" w:type="dxa"/>
              <w:bottom w:w="0" w:type="dxa"/>
            </w:tcMar>
            <w:vAlign w:val="center"/>
          </w:tcPr>
          <w:p>
            <w:pPr>
              <w:keepNext/>
              <w:keepLines/>
              <w:spacing w:after="0" w:line="240" w:lineRule="auto"/>
            </w:pPr>
            <w:r>
              <w:rPr>
                <w:sz w:val="18"/>
              </w:rPr>
              <w:t>Uređaji, strojevi i oprema za ostale namjene</w:t>
            </w:r>
          </w:p>
        </w:tc>
        <w:tc>
          <w:tcPr>
            <w:tcW w:w="700" w:type="dxa"/>
            <w:tcMar>
              <w:top w:w="0" w:type="dxa"/>
              <w:bottom w:w="0" w:type="dxa"/>
            </w:tcMar>
            <w:vAlign w:val="center"/>
          </w:tcPr>
          <w:p>
            <w:pPr>
              <w:keepNext/>
              <w:keepLines/>
              <w:spacing w:after="0" w:line="240" w:lineRule="auto"/>
            </w:pPr>
            <w:r>
              <w:rPr>
                <w:sz w:val="18"/>
              </w:rPr>
              <w:t>0227</w:t>
            </w:r>
          </w:p>
        </w:tc>
        <w:tc>
          <w:tcPr>
            <w:tcW w:w="1860" w:type="dxa"/>
            <w:tcMar>
              <w:top w:w="0" w:type="dxa"/>
              <w:bottom w:w="0" w:type="dxa"/>
            </w:tcMar>
            <w:vAlign w:val="center"/>
          </w:tcPr>
          <w:p>
            <w:pPr>
              <w:keepNext/>
              <w:keepLines/>
              <w:spacing w:after="0" w:line="240" w:lineRule="auto"/>
              <w:jc w:val="right"/>
            </w:pPr>
            <w:r>
              <w:rPr>
                <w:sz w:val="18"/>
              </w:rPr>
              <w:t>215.477,22</w:t>
            </w:r>
          </w:p>
        </w:tc>
        <w:tc>
          <w:tcPr>
            <w:tcW w:w="1860" w:type="dxa"/>
            <w:tcMar>
              <w:top w:w="0" w:type="dxa"/>
              <w:bottom w:w="0" w:type="dxa"/>
            </w:tcMar>
            <w:vAlign w:val="center"/>
          </w:tcPr>
          <w:p>
            <w:pPr>
              <w:keepNext/>
              <w:keepLines/>
              <w:spacing w:after="0" w:line="240" w:lineRule="auto"/>
              <w:jc w:val="right"/>
            </w:pPr>
            <w:r>
              <w:rPr>
                <w:sz w:val="18"/>
              </w:rPr>
              <w:t>345.607,22</w:t>
            </w:r>
          </w:p>
        </w:tc>
        <w:tc>
          <w:tcPr>
            <w:tcW w:w="700" w:type="dxa"/>
            <w:tcMar>
              <w:top w:w="0" w:type="dxa"/>
              <w:bottom w:w="0" w:type="dxa"/>
            </w:tcMar>
            <w:vAlign w:val="center"/>
          </w:tcPr>
          <w:p>
            <w:pPr>
              <w:keepNext/>
              <w:keepLines/>
              <w:spacing w:after="0" w:line="240" w:lineRule="auto"/>
              <w:jc w:val="right"/>
            </w:pPr>
            <w:r>
              <w:rPr>
                <w:sz w:val="18"/>
              </w:rPr>
              <w:t>160,4</w:t>
            </w:r>
          </w:p>
        </w:tc>
      </w:tr>
    </w:tbl>
    <w:p>
      <w:pPr>
        <w:spacing w:after="0"/>
      </w:pPr>
    </w:p>
    <w:p>
      <w:r>
        <w:t>Nabava nove opreme za dječja igrališta i opremanje vatrogasnog doma Pokupsko.</w:t>
      </w:r>
    </w:p>
    <w:p/>
    <w:p>
      <w:pPr>
        <w:keepNext/>
        <w:spacing w:line="240" w:lineRule="auto"/>
        <w:jc w:val="center"/>
      </w:pPr>
      <w:r>
        <w:rPr>
          <w:b/>
          <w:sz w:val="28"/>
        </w:rPr>
        <w:t>Promjene u vrijednosti i obujmu imovine i obveza</w:t>
      </w:r>
    </w:p>
    <w:p>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tblPrEx>
          <w:tblCellMar>
            <w:top w:w="0" w:type="dxa"/>
            <w:bottom w:w="0" w:type="dxa"/>
          </w:tblCellMar>
        </w:tblPrEx>
        <w:trPr>
          <w:cantSplit/>
        </w:trPr>
        <w:tc>
          <w:tcPr>
            <w:tcW w:w="700" w:type="dxa"/>
            <w:shd w:val="clear" w:color="auto" w:fill="E7F0F9"/>
            <w:tcMar>
              <w:top w:w="0" w:type="dxa"/>
              <w:bottom w:w="0" w:type="dxa"/>
            </w:tcMar>
            <w:vAlign w:val="center"/>
          </w:tcPr>
          <w:p>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pPr>
              <w:keepNext/>
              <w:keepLines/>
              <w:spacing w:after="0" w:line="240" w:lineRule="auto"/>
              <w:jc w:val="center"/>
            </w:pPr>
            <w:r>
              <w:rPr>
                <w:b/>
                <w:sz w:val="18"/>
              </w:rPr>
              <w:t>Indeks (%)</w:t>
            </w:r>
          </w:p>
        </w:tc>
      </w:tr>
      <w:tr>
        <w:tblPrEx>
          <w:tblCellMar>
            <w:top w:w="0" w:type="dxa"/>
            <w:bottom w:w="0" w:type="dxa"/>
          </w:tblCellMar>
        </w:tblPrEx>
        <w:trPr>
          <w:cantSplit/>
          <w:trHeight w:val="560"/>
        </w:trPr>
        <w:tc>
          <w:tcPr>
            <w:tcW w:w="700" w:type="dxa"/>
            <w:tcMar>
              <w:top w:w="0" w:type="dxa"/>
              <w:bottom w:w="0" w:type="dxa"/>
            </w:tcMar>
            <w:vAlign w:val="center"/>
          </w:tcPr>
          <w:p>
            <w:pPr>
              <w:keepNext/>
              <w:keepLines/>
              <w:spacing w:after="0" w:line="240" w:lineRule="auto"/>
            </w:pPr>
            <w:r>
              <w:rPr>
                <w:sz w:val="18"/>
              </w:rPr>
              <w:t>91522</w:t>
            </w:r>
          </w:p>
        </w:tc>
        <w:tc>
          <w:tcPr>
            <w:tcW w:w="3180" w:type="dxa"/>
            <w:tcMar>
              <w:top w:w="0" w:type="dxa"/>
              <w:bottom w:w="0" w:type="dxa"/>
            </w:tcMar>
            <w:vAlign w:val="center"/>
          </w:tcPr>
          <w:p>
            <w:pPr>
              <w:keepNext/>
              <w:keepLines/>
              <w:spacing w:after="0" w:line="240" w:lineRule="auto"/>
            </w:pPr>
            <w:r>
              <w:rPr>
                <w:sz w:val="18"/>
              </w:rPr>
              <w:t>Promjene u obujmu obveza (šifre P035 do P038)</w:t>
            </w:r>
          </w:p>
        </w:tc>
        <w:tc>
          <w:tcPr>
            <w:tcW w:w="700" w:type="dxa"/>
            <w:tcMar>
              <w:top w:w="0" w:type="dxa"/>
              <w:bottom w:w="0" w:type="dxa"/>
            </w:tcMar>
            <w:vAlign w:val="center"/>
          </w:tcPr>
          <w:p>
            <w:pPr>
              <w:keepNext/>
              <w:keepLines/>
              <w:spacing w:after="0" w:line="240" w:lineRule="auto"/>
            </w:pPr>
            <w:r>
              <w:rPr>
                <w:sz w:val="18"/>
              </w:rPr>
              <w:t>91522</w:t>
            </w:r>
          </w:p>
        </w:tc>
        <w:tc>
          <w:tcPr>
            <w:tcW w:w="1860" w:type="dxa"/>
            <w:tcMar>
              <w:top w:w="0" w:type="dxa"/>
              <w:bottom w:w="0" w:type="dxa"/>
            </w:tcMar>
            <w:vAlign w:val="center"/>
          </w:tcPr>
          <w:p>
            <w:pPr>
              <w:keepNext/>
              <w:keepLines/>
              <w:spacing w:after="0" w:line="240" w:lineRule="auto"/>
              <w:jc w:val="right"/>
            </w:pPr>
            <w:r>
              <w:rPr>
                <w:sz w:val="18"/>
              </w:rPr>
              <w:t>0,00</w:t>
            </w:r>
          </w:p>
        </w:tc>
        <w:tc>
          <w:tcPr>
            <w:tcW w:w="1860" w:type="dxa"/>
            <w:tcMar>
              <w:top w:w="0" w:type="dxa"/>
              <w:bottom w:w="0" w:type="dxa"/>
            </w:tcMar>
            <w:vAlign w:val="center"/>
          </w:tcPr>
          <w:p>
            <w:pPr>
              <w:keepNext/>
              <w:keepLines/>
              <w:spacing w:after="0" w:line="240" w:lineRule="auto"/>
              <w:jc w:val="right"/>
            </w:pPr>
            <w:r>
              <w:rPr>
                <w:sz w:val="18"/>
              </w:rPr>
              <w:t>21.287,00</w:t>
            </w:r>
          </w:p>
        </w:tc>
        <w:tc>
          <w:tcPr>
            <w:tcW w:w="700" w:type="dxa"/>
            <w:tcMar>
              <w:top w:w="0" w:type="dxa"/>
              <w:bottom w:w="0" w:type="dxa"/>
            </w:tcMar>
            <w:vAlign w:val="center"/>
          </w:tcPr>
          <w:p>
            <w:pPr>
              <w:keepNext/>
              <w:keepLines/>
              <w:spacing w:after="0" w:line="240" w:lineRule="auto"/>
              <w:jc w:val="right"/>
            </w:pPr>
            <w:r>
              <w:rPr>
                <w:sz w:val="18"/>
              </w:rPr>
              <w:t>-</w:t>
            </w:r>
          </w:p>
        </w:tc>
      </w:tr>
    </w:tbl>
    <w:p>
      <w:pPr>
        <w:spacing w:after="0"/>
      </w:pPr>
    </w:p>
    <w:p>
      <w:r>
        <w:t>Promjene u obujmu obveza odnose se na otpis zastarjelih obveza.</w:t>
      </w:r>
    </w:p>
    <w:p/>
    <w:p>
      <w:pPr>
        <w:keepNext/>
        <w:spacing w:line="240" w:lineRule="auto"/>
        <w:jc w:val="center"/>
      </w:pPr>
      <w:r>
        <w:rPr>
          <w:b/>
          <w:sz w:val="28"/>
        </w:rPr>
        <w:t>Izvještaj o obvezama</w:t>
      </w:r>
    </w:p>
    <w:p>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tblPrEx>
          <w:tblCellMar>
            <w:top w:w="0" w:type="dxa"/>
            <w:bottom w:w="0" w:type="dxa"/>
          </w:tblCellMar>
        </w:tblPrEx>
        <w:trPr>
          <w:cantSplit/>
        </w:trPr>
        <w:tc>
          <w:tcPr>
            <w:tcW w:w="700" w:type="dxa"/>
            <w:shd w:val="clear" w:color="auto" w:fill="E7F0F9"/>
            <w:tcMar>
              <w:top w:w="0" w:type="dxa"/>
              <w:bottom w:w="0" w:type="dxa"/>
            </w:tcMar>
            <w:vAlign w:val="center"/>
          </w:tcPr>
          <w:p>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pPr>
              <w:keepNext/>
              <w:keepLines/>
              <w:spacing w:after="0" w:line="240" w:lineRule="auto"/>
              <w:jc w:val="center"/>
            </w:pPr>
            <w:r>
              <w:rPr>
                <w:b/>
                <w:sz w:val="18"/>
              </w:rPr>
              <w:t>Indeks (%)</w:t>
            </w:r>
          </w:p>
        </w:tc>
      </w:tr>
      <w:tr>
        <w:tblPrEx>
          <w:tblCellMar>
            <w:top w:w="0" w:type="dxa"/>
            <w:bottom w:w="0" w:type="dxa"/>
          </w:tblCellMar>
        </w:tblPrEx>
        <w:trPr>
          <w:cantSplit/>
          <w:trHeight w:val="560"/>
        </w:trPr>
        <w:tc>
          <w:tcPr>
            <w:tcW w:w="700" w:type="dxa"/>
            <w:tcMar>
              <w:top w:w="0" w:type="dxa"/>
              <w:bottom w:w="0" w:type="dxa"/>
            </w:tcMar>
            <w:vAlign w:val="center"/>
          </w:tcPr>
          <w:p>
            <w:pPr>
              <w:keepNext/>
              <w:keepLines/>
              <w:spacing w:after="0" w:line="240" w:lineRule="auto"/>
            </w:pPr>
          </w:p>
        </w:tc>
        <w:tc>
          <w:tcPr>
            <w:tcW w:w="3180" w:type="dxa"/>
            <w:tcMar>
              <w:top w:w="0" w:type="dxa"/>
              <w:bottom w:w="0" w:type="dxa"/>
            </w:tcMar>
            <w:vAlign w:val="center"/>
          </w:tcPr>
          <w:p>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pPr>
              <w:keepNext/>
              <w:keepLines/>
              <w:spacing w:after="0" w:line="240" w:lineRule="auto"/>
            </w:pPr>
            <w:r>
              <w:rPr>
                <w:sz w:val="18"/>
              </w:rPr>
              <w:t>V007</w:t>
            </w:r>
          </w:p>
        </w:tc>
        <w:tc>
          <w:tcPr>
            <w:tcW w:w="1860" w:type="dxa"/>
            <w:tcMar>
              <w:top w:w="0" w:type="dxa"/>
              <w:bottom w:w="0" w:type="dxa"/>
            </w:tcMar>
            <w:vAlign w:val="center"/>
          </w:tcPr>
          <w:p>
            <w:pPr>
              <w:keepNext/>
              <w:keepLines/>
              <w:spacing w:after="0" w:line="240" w:lineRule="auto"/>
              <w:jc w:val="right"/>
            </w:pPr>
            <w:r>
              <w:rPr>
                <w:sz w:val="18"/>
              </w:rPr>
              <w:t>119.882,31</w:t>
            </w:r>
          </w:p>
        </w:tc>
        <w:tc>
          <w:tcPr>
            <w:tcW w:w="700" w:type="dxa"/>
            <w:tcMar>
              <w:top w:w="0" w:type="dxa"/>
              <w:bottom w:w="0" w:type="dxa"/>
            </w:tcMar>
            <w:vAlign w:val="center"/>
          </w:tcPr>
          <w:p>
            <w:pPr>
              <w:keepNext/>
              <w:keepLines/>
              <w:spacing w:after="0" w:line="240" w:lineRule="auto"/>
              <w:jc w:val="right"/>
            </w:pPr>
            <w:r>
              <w:rPr>
                <w:sz w:val="18"/>
              </w:rPr>
              <w:t>-</w:t>
            </w:r>
          </w:p>
        </w:tc>
      </w:tr>
    </w:tbl>
    <w:p>
      <w:pPr>
        <w:spacing w:after="0"/>
      </w:pPr>
    </w:p>
    <w:p>
      <w:r>
        <w:t>Stanje dospjelih obveza na kraju godine iznosi 119.882,31 eura, a rezultat su raskoraka u dinamici ostvarenja prihoda u odnosu na dospjele obveze. Iz vlastitih prihoda financirani su rashodi za provedbu projekta za koji je ugovorena potpora koja još nije isplaćena, pa nisu podmirene obveze prema dobavljačima za projekte koji se financiraju iz vlastitih sredstava.</w:t>
      </w:r>
    </w:p>
    <w:p/>
    <w:p>
      <w:pPr>
        <w:keepNext/>
        <w:spacing w:line="240" w:lineRule="auto"/>
        <w:jc w:val="center"/>
      </w:pPr>
      <w:r>
        <w:rPr>
          <w:sz w:val="28"/>
        </w:rPr>
        <w:t>Bilješka 15.</w:t>
      </w:r>
    </w:p>
    <w:p>
      <w:pPr>
        <w:spacing w:line="240" w:lineRule="auto"/>
        <w:jc w:val="both"/>
      </w:pPr>
      <w:r>
        <w:rPr>
          <w:b/>
        </w:rPr>
        <w:t>EU izvještaj</w:t>
      </w:r>
    </w:p>
    <w:p>
      <w:r>
        <w:t>Općina Pokupsko provodi projekt Zaželi koji je financiran sredstvima Europskog socijalnog fonda plus. U 2025. godini ostvareni su rashodi temeljem prijenosa EU sredstava u iznosu od 154.232,26 eura, od čega su sredstva Europskog socijalnog fonda plus 131.097,42 eura, a nacionalno sufinanciranje 23.134,84 eura.</w:t>
      </w:r>
    </w:p>
    <w:p>
      <w:r>
        <w:t>Rashodi su ostvareni u iznosu od 258.436,33 eura, a odnose se na rashode za zaposlene na projektu i nabavu paketa za krajnje korisnike. Temeljem zadnjeg ZNS-a koji je podnesen u listopadu 2025. godini potražujemo iznos od 69.456,15 eura.</w:t>
      </w:r>
    </w:p>
    <w:p/>
    <w:sectPr>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99C356-A4A2-40E5-9382-33B84C86D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1183</Words>
  <Characters>6746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3</cp:revision>
  <dcterms:created xsi:type="dcterms:W3CDTF">2026-02-16T12:07:00Z</dcterms:created>
  <dcterms:modified xsi:type="dcterms:W3CDTF">2026-02-16T12:07:00Z</dcterms:modified>
</cp:coreProperties>
</file>