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ascii="Arial" w:hAnsi="Arial" w:cs="Arial"/>
          <w:b/>
          <w:sz w:val="24"/>
        </w:rPr>
      </w:pPr>
      <w:r>
        <w:rPr>
          <w:rFonts w:ascii="Arial" w:hAnsi="Arial" w:cs="Arial"/>
          <w:b/>
          <w:sz w:val="24"/>
        </w:rPr>
        <w:t>OBRAZLOŽENJE</w:t>
      </w:r>
    </w:p>
    <w:p>
      <w:pPr>
        <w:jc w:val="center"/>
        <w:rPr>
          <w:rFonts w:ascii="Arial" w:hAnsi="Arial" w:cs="Arial"/>
          <w:b/>
          <w:sz w:val="24"/>
        </w:rPr>
      </w:pPr>
      <w:r>
        <w:rPr>
          <w:rFonts w:ascii="Arial" w:hAnsi="Arial" w:cs="Arial"/>
          <w:b/>
          <w:sz w:val="24"/>
        </w:rPr>
        <w:t xml:space="preserve">uz Proračun Općine Pokupsko za 2026. godinu </w:t>
      </w:r>
    </w:p>
    <w:p>
      <w:pPr>
        <w:jc w:val="center"/>
        <w:rPr>
          <w:rFonts w:ascii="Arial" w:hAnsi="Arial" w:cs="Arial"/>
          <w:b/>
          <w:sz w:val="24"/>
        </w:rPr>
      </w:pPr>
      <w:r>
        <w:rPr>
          <w:rFonts w:ascii="Arial" w:hAnsi="Arial" w:cs="Arial"/>
          <w:b/>
          <w:sz w:val="24"/>
        </w:rPr>
        <w:t>i projekcije za 2027. i 2028.godinu</w:t>
      </w:r>
    </w:p>
    <w:p>
      <w:pPr>
        <w:jc w:val="both"/>
        <w:rPr>
          <w:rFonts w:ascii="Arial" w:hAnsi="Arial" w:cs="Arial"/>
          <w:b/>
          <w:sz w:val="24"/>
        </w:rPr>
      </w:pPr>
    </w:p>
    <w:p>
      <w:pPr>
        <w:jc w:val="both"/>
        <w:rPr>
          <w:rFonts w:ascii="Arial" w:hAnsi="Arial" w:cs="Arial"/>
          <w:b/>
          <w:sz w:val="24"/>
        </w:rPr>
      </w:pPr>
      <w:r>
        <w:rPr>
          <w:rFonts w:ascii="Arial" w:hAnsi="Arial" w:cs="Arial"/>
          <w:b/>
          <w:sz w:val="24"/>
        </w:rPr>
        <w:t>UVOD</w:t>
      </w:r>
    </w:p>
    <w:p>
      <w:pPr>
        <w:jc w:val="both"/>
        <w:rPr>
          <w:rFonts w:ascii="Arial" w:hAnsi="Arial" w:cs="Arial"/>
          <w:sz w:val="24"/>
        </w:rPr>
      </w:pPr>
      <w:r>
        <w:rPr>
          <w:rFonts w:ascii="Arial" w:hAnsi="Arial" w:cs="Arial"/>
          <w:sz w:val="24"/>
        </w:rPr>
        <w:tab/>
        <w:t>Sukladno Zakonu o proračunu („Narodne novine“, broj 144/21) Ministarstvo financija izdalo je Upute za izradu proračuna jedinica lokalne samouprave .</w:t>
      </w:r>
    </w:p>
    <w:p>
      <w:pPr>
        <w:jc w:val="both"/>
        <w:rPr>
          <w:rFonts w:ascii="Arial" w:hAnsi="Arial" w:cs="Arial"/>
          <w:sz w:val="24"/>
        </w:rPr>
      </w:pPr>
      <w:r>
        <w:rPr>
          <w:rFonts w:ascii="Arial" w:hAnsi="Arial" w:cs="Arial"/>
          <w:sz w:val="24"/>
        </w:rPr>
        <w:tab/>
        <w:t xml:space="preserve">Temeljem navedenih Uputa izrađen je Prijedlog proračuna za 2026. godinu i projekcija za 2027. i 2028. godinu , te se isti upućuje predstavničkom tijelu na usvajanje. </w:t>
      </w:r>
    </w:p>
    <w:p>
      <w:pPr>
        <w:ind w:firstLine="708"/>
        <w:jc w:val="both"/>
        <w:rPr>
          <w:rStyle w:val="markedcontent"/>
          <w:rFonts w:ascii="Arial" w:hAnsi="Arial" w:cs="Arial"/>
          <w:sz w:val="24"/>
          <w:szCs w:val="30"/>
        </w:rPr>
      </w:pPr>
      <w:r>
        <w:rPr>
          <w:rStyle w:val="markedcontent"/>
          <w:rFonts w:ascii="Arial" w:hAnsi="Arial" w:cs="Arial"/>
          <w:sz w:val="24"/>
          <w:szCs w:val="30"/>
        </w:rPr>
        <w:t>Proračun za 2026. godinu s projekcijama za 2027. i 2028. godinu konsolidirani je proračun, što znači da uključuje sve prihode i primitke, rashode i izdatke Općine Pokupsko i proračunskog korisnika Općinske knjižnice Pokupsko.</w:t>
      </w:r>
    </w:p>
    <w:p>
      <w:pPr>
        <w:ind w:firstLine="708"/>
        <w:jc w:val="both"/>
        <w:rPr>
          <w:rStyle w:val="markedcontent"/>
          <w:rFonts w:ascii="Arial" w:hAnsi="Arial" w:cs="Arial"/>
          <w:sz w:val="24"/>
          <w:szCs w:val="30"/>
        </w:rPr>
      </w:pPr>
    </w:p>
    <w:p>
      <w:pPr>
        <w:jc w:val="both"/>
        <w:rPr>
          <w:rFonts w:ascii="Arial" w:hAnsi="Arial" w:cs="Arial"/>
          <w:b/>
          <w:sz w:val="24"/>
        </w:rPr>
      </w:pPr>
      <w:r>
        <w:rPr>
          <w:rFonts w:ascii="Arial" w:hAnsi="Arial" w:cs="Arial"/>
          <w:b/>
          <w:sz w:val="24"/>
        </w:rPr>
        <w:t>1.OBRAZLOŽENJE OPĆEG DIJELA PRORAČUNA</w:t>
      </w:r>
    </w:p>
    <w:p>
      <w:pPr>
        <w:jc w:val="both"/>
        <w:rPr>
          <w:rFonts w:ascii="Arial" w:hAnsi="Arial" w:cs="Arial"/>
          <w:b/>
          <w:i/>
          <w:sz w:val="24"/>
        </w:rPr>
      </w:pPr>
      <w:r>
        <w:rPr>
          <w:rFonts w:ascii="Arial" w:hAnsi="Arial" w:cs="Arial"/>
          <w:b/>
          <w:i/>
          <w:sz w:val="24"/>
        </w:rPr>
        <w:t>1.1. Račun prihoda i rashoda i račun zaduživanja/financiranja</w:t>
      </w:r>
    </w:p>
    <w:p>
      <w:pPr>
        <w:jc w:val="both"/>
        <w:rPr>
          <w:rStyle w:val="markedcontent"/>
          <w:rFonts w:ascii="Arial" w:hAnsi="Arial" w:cs="Arial"/>
          <w:sz w:val="24"/>
          <w:szCs w:val="30"/>
        </w:rPr>
      </w:pPr>
      <w:r>
        <w:rPr>
          <w:rStyle w:val="markedcontent"/>
          <w:rFonts w:ascii="Arial" w:hAnsi="Arial" w:cs="Arial"/>
          <w:sz w:val="24"/>
          <w:szCs w:val="30"/>
        </w:rPr>
        <w:t>Ukupni prihodi i rashodi su iskazani po prirodnoj vrsti iz koje se ostvaruju, odnosno po</w:t>
      </w:r>
      <w:r>
        <w:rPr>
          <w:sz w:val="18"/>
        </w:rPr>
        <w:t xml:space="preserve"> </w:t>
      </w:r>
      <w:r>
        <w:rPr>
          <w:rStyle w:val="markedcontent"/>
          <w:rFonts w:ascii="Arial" w:hAnsi="Arial" w:cs="Arial"/>
          <w:sz w:val="24"/>
          <w:szCs w:val="30"/>
        </w:rPr>
        <w:t>ekonomskoj klasifikaciji te po izvorima financiranja koji predstavljaju skupine prihoda iz kojih</w:t>
      </w:r>
      <w:r>
        <w:rPr>
          <w:sz w:val="18"/>
        </w:rPr>
        <w:t xml:space="preserve"> </w:t>
      </w:r>
      <w:r>
        <w:rPr>
          <w:rStyle w:val="markedcontent"/>
          <w:rFonts w:ascii="Arial" w:hAnsi="Arial" w:cs="Arial"/>
          <w:sz w:val="24"/>
          <w:szCs w:val="30"/>
        </w:rPr>
        <w:t>se podmiruju rashodi određene vrste i utvrđene namjene. Prihodi i rashodi iskazani su na razini</w:t>
      </w:r>
      <w:r>
        <w:rPr>
          <w:sz w:val="18"/>
        </w:rPr>
        <w:t xml:space="preserve"> </w:t>
      </w:r>
      <w:r>
        <w:rPr>
          <w:rStyle w:val="markedcontent"/>
          <w:rFonts w:ascii="Arial" w:hAnsi="Arial" w:cs="Arial"/>
          <w:sz w:val="24"/>
          <w:szCs w:val="30"/>
        </w:rPr>
        <w:t>skupine računskog plana (2 razina).</w:t>
      </w:r>
    </w:p>
    <w:p>
      <w:pPr>
        <w:jc w:val="both"/>
        <w:rPr>
          <w:rStyle w:val="markedcontent"/>
          <w:rFonts w:ascii="Arial" w:hAnsi="Arial" w:cs="Arial"/>
          <w:sz w:val="24"/>
          <w:szCs w:val="30"/>
        </w:rPr>
      </w:pPr>
    </w:p>
    <w:p>
      <w:pPr>
        <w:pStyle w:val="ListParagraph"/>
        <w:numPr>
          <w:ilvl w:val="2"/>
          <w:numId w:val="1"/>
        </w:numPr>
        <w:jc w:val="both"/>
        <w:rPr>
          <w:rFonts w:ascii="Arial" w:hAnsi="Arial" w:cs="Arial"/>
          <w:b/>
          <w:i/>
          <w:sz w:val="20"/>
        </w:rPr>
      </w:pPr>
      <w:r>
        <w:rPr>
          <w:rFonts w:ascii="Arial" w:hAnsi="Arial" w:cs="Arial"/>
          <w:b/>
          <w:i/>
          <w:sz w:val="24"/>
        </w:rPr>
        <w:t>Ukupni prihodi</w:t>
      </w:r>
    </w:p>
    <w:p>
      <w:pPr>
        <w:jc w:val="both"/>
        <w:rPr>
          <w:rFonts w:ascii="Arial" w:eastAsia="Times New Roman" w:hAnsi="Arial" w:cs="Arial"/>
          <w:sz w:val="20"/>
          <w:szCs w:val="20"/>
          <w:lang w:eastAsia="hr-HR"/>
        </w:rPr>
      </w:pPr>
      <w:r>
        <w:rPr>
          <w:rFonts w:ascii="Arial" w:hAnsi="Arial" w:cs="Arial"/>
          <w:sz w:val="24"/>
        </w:rPr>
        <w:t xml:space="preserve">Ukupni prihodi Općine Pokupsko planirani su u iznosu od </w:t>
      </w:r>
      <w:r>
        <w:rPr>
          <w:rFonts w:ascii="Arial" w:eastAsia="Times New Roman" w:hAnsi="Arial" w:cs="Arial"/>
          <w:sz w:val="24"/>
          <w:szCs w:val="20"/>
          <w:lang w:eastAsia="hr-HR"/>
        </w:rPr>
        <w:t>5.142.406,01</w:t>
      </w:r>
      <w:r>
        <w:rPr>
          <w:rFonts w:ascii="Arial" w:hAnsi="Arial" w:cs="Arial"/>
          <w:sz w:val="24"/>
        </w:rPr>
        <w:t xml:space="preserve"> EUR.</w:t>
      </w:r>
    </w:p>
    <w:p>
      <w:pPr>
        <w:jc w:val="both"/>
        <w:rPr>
          <w:rFonts w:ascii="Arial" w:eastAsia="Times New Roman" w:hAnsi="Arial" w:cs="Arial"/>
          <w:sz w:val="20"/>
          <w:szCs w:val="20"/>
          <w:lang w:eastAsia="hr-HR"/>
        </w:rPr>
      </w:pPr>
      <w:r>
        <w:rPr>
          <w:rFonts w:ascii="Arial" w:hAnsi="Arial" w:cs="Arial"/>
          <w:sz w:val="24"/>
        </w:rPr>
        <w:t xml:space="preserve">61 Prihodi od poreza planirani su u iznosu od </w:t>
      </w:r>
      <w:r>
        <w:rPr>
          <w:rFonts w:ascii="Arial" w:eastAsia="Times New Roman" w:hAnsi="Arial" w:cs="Arial"/>
          <w:sz w:val="24"/>
          <w:szCs w:val="20"/>
          <w:lang w:eastAsia="hr-HR"/>
        </w:rPr>
        <w:t xml:space="preserve">1.888.176,01 </w:t>
      </w:r>
      <w:r>
        <w:rPr>
          <w:rFonts w:ascii="Arial" w:hAnsi="Arial" w:cs="Arial"/>
          <w:sz w:val="24"/>
        </w:rPr>
        <w:t>EUR i oni su planirani unutar izvora 1.1. Opći prihodi i primici. Prihodi od poreza odnose se na prihode od poreza na dohodak, poreza na imovinu (porez na nekretnine, porez na promet nekretnina) i porez na robu i usluge.</w:t>
      </w:r>
    </w:p>
    <w:p>
      <w:pPr>
        <w:rPr>
          <w:rFonts w:ascii="Arial" w:eastAsia="Times New Roman" w:hAnsi="Arial" w:cs="Arial"/>
          <w:sz w:val="20"/>
          <w:szCs w:val="20"/>
          <w:lang w:eastAsia="hr-HR"/>
        </w:rPr>
      </w:pPr>
      <w:r>
        <w:rPr>
          <w:rFonts w:ascii="Arial" w:hAnsi="Arial" w:cs="Arial"/>
          <w:sz w:val="24"/>
        </w:rPr>
        <w:t xml:space="preserve">63 Pomoći iz inozemstva i od subjekata unutar općeg proračuna planirani su u iznosu od </w:t>
      </w:r>
      <w:r>
        <w:rPr>
          <w:rFonts w:ascii="Arial" w:eastAsia="Times New Roman" w:hAnsi="Arial" w:cs="Arial"/>
          <w:szCs w:val="20"/>
          <w:lang w:eastAsia="hr-HR"/>
        </w:rPr>
        <w:t xml:space="preserve">3.095.500,00 </w:t>
      </w:r>
      <w:r>
        <w:rPr>
          <w:rFonts w:ascii="Arial" w:hAnsi="Arial" w:cs="Arial"/>
          <w:sz w:val="24"/>
        </w:rPr>
        <w:t xml:space="preserve">EUR, od toga su planirana sredstva fiskalnog izravnanja 380.000,00 EUR izvora 1.1. Opći prihodi i primici, Izvor 5.0. Pomoći iz državnog proračuna planirane su u iznosu od 1.888.600,00 eura, </w:t>
      </w:r>
      <w:r>
        <w:rPr>
          <w:rFonts w:ascii="Arial" w:hAnsi="Arial" w:cs="Arial"/>
          <w:sz w:val="24"/>
          <w:szCs w:val="24"/>
        </w:rPr>
        <w:t xml:space="preserve">za Sanaciju javnih zgrada oštećenih u potresu planiran je iznos od 1.640.000,00 EUR, sredstva fiskalne održivosti dječjih vrtića planirana su u iznosu od 67.000,00 eura, za projekt Zaželi planirano je 47.700,00 koji se financira u iznosu od 15% iz proračuna RH. </w:t>
      </w:r>
      <w:r>
        <w:rPr>
          <w:rFonts w:ascii="Arial" w:hAnsi="Arial" w:cs="Arial"/>
          <w:sz w:val="24"/>
        </w:rPr>
        <w:t xml:space="preserve">Izvor 5.1. Programi Unije iznose 124.000,00 EUR. </w:t>
      </w:r>
      <w:r>
        <w:rPr>
          <w:rFonts w:ascii="Arial" w:hAnsi="Arial" w:cs="Arial"/>
          <w:sz w:val="24"/>
          <w:szCs w:val="24"/>
        </w:rPr>
        <w:t>Unutar izvora 5.2. Ostale pomoći planirani su prihodi u iznosu od 436.500,00 EUR, a odnose se na pomoći, iz proračuna Zagrebačke županije, Pomoć u kući 44.000,00 EUR iz proračuna Zagrebačke županije, za program Predškolskog odgoja planiran je iznos pomoći 37.000,00 eura iz proračuna Zagrebačke županije, iz pomoći od subjekata unutar općeg proračuna planirano je još 392.500,00 EUR za pojačano održavanje općinskih cesta, nabavu opreme za domove, projektiranje doma za starije i nemoćne Pokupsko, Vodoopskrbne objekte, opremanje dječjih igrališta, groblje Pokupsko.</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64 Prihodi od imovine planirani su u iznosu od 71.230,00 (prihodi od nefinancijske imovine – zakup i iznajmljivanje, naknada za korištenje nefinancijske imovine).</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65 Prihodi od upravnih i administrativnih pristojbi, pristojbi po posebnim propisima planirani su u iznosu od 87.500,00 EUR, od toga iz izvora 1.1. Opći prihodi i primici 17.000,00 EUR, Izvor 4.0. Prihodi od komunalne naknade i komunalnog doprinosa 59.000,00, Izvor 4.3. Ostali prihodi za posebne namjene 11.400,00 eura, 3.1. Vlastiti prihodi 100,00 eura.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p>
    <w:p>
      <w:pPr>
        <w:pStyle w:val="ListParagraph"/>
        <w:numPr>
          <w:ilvl w:val="2"/>
          <w:numId w:val="1"/>
        </w:numPr>
        <w:autoSpaceDE w:val="0"/>
        <w:autoSpaceDN w:val="0"/>
        <w:adjustRightInd w:val="0"/>
        <w:spacing w:after="0" w:line="240" w:lineRule="auto"/>
        <w:jc w:val="both"/>
        <w:rPr>
          <w:rFonts w:ascii="Arial" w:hAnsi="Arial" w:cs="Arial"/>
          <w:b/>
          <w:bCs/>
          <w:i/>
          <w:sz w:val="24"/>
          <w:szCs w:val="24"/>
        </w:rPr>
      </w:pPr>
      <w:r>
        <w:rPr>
          <w:rFonts w:ascii="Arial" w:hAnsi="Arial" w:cs="Arial"/>
          <w:b/>
          <w:bCs/>
          <w:i/>
          <w:sz w:val="24"/>
          <w:szCs w:val="24"/>
        </w:rPr>
        <w:t>Ukupni rashodi</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Ukupni rashodi Općine Pokupsko planirani su u iznosu od 5.115.406,01 eura.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 xml:space="preserve">31 Rashodi za zaposlene planiraju se u iznosu od 572.800,00 EUR. Od toga 296.800,00 EUR planira se iz izvora 1.1. Opći prihodi i primici, 234.600,00 eura (85%) iz izvora 5.6. Fondovi EU za projekt Zaželi gdje je zaposleno 15 žena, voditelj projekta i asistent i 15% iz izvora 5.0. Pomoći iz državnog proračuna u iznosu od 41.400,00 eura. </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 xml:space="preserve">32 Materijalni rashodi planirani su u iznosu od 1.143.450,00 eura. </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Odnose se na rashode planirane za provođenje projekata i aktivnosti, a prikazani su kroz ekonomske klasifikacije druge razine koje su označene kao naknade troškova zaposlenima, rashodi za materijal i energiju, rashodi za usluge, ostale nespomenuti rashodi poslovanja.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34 Financijski rashodi planirani su u iznosu od 28.300,00 eura, a odnose se na rashode za usluge banaka i platnog prometa, ostale nespomenute financijske rashode.</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35 Subvencije su planirane u iznosu od 206.700,00 eura, a odnose se na subvenciju dječjeg vrtića i subvenciju poljoprivrednicima (umjetno osjemenjivanje).</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 xml:space="preserve">37 Naknade građanima i kućanstvima planirane su u  iznosu 139.800,00 eura, a odnose se na sufinanciranje prijevoza, potpore za novorođenčad, stipendije, jednokratne novčane pomoći, pomoć u kući, naknade za </w:t>
      </w:r>
      <w:proofErr w:type="spellStart"/>
      <w:r>
        <w:rPr>
          <w:rFonts w:ascii="Arial" w:hAnsi="Arial" w:cs="Arial"/>
          <w:bCs/>
          <w:sz w:val="24"/>
          <w:szCs w:val="24"/>
        </w:rPr>
        <w:t>tr.stanovanja</w:t>
      </w:r>
      <w:proofErr w:type="spellEnd"/>
      <w:r>
        <w:rPr>
          <w:rFonts w:ascii="Arial" w:hAnsi="Arial" w:cs="Arial"/>
          <w:bCs/>
          <w:sz w:val="24"/>
          <w:szCs w:val="24"/>
        </w:rPr>
        <w:t>, nabavu radnih materijala za osnovnoškolce, božićnice za umirovljenike.</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38 Ostali rashodi planirani su u iznosu 380.856,01 eura, a odnose se na donacije DVD-u, Crvenom križu, HGSS, udrugama s područja općine, sufinanciranje rada liječnika opće prakse i kapitalne pomoći trgovačkim društvima.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41 Rashodi za nabavu neproizvedene dugotrajne imovine planirani su u iznosu od 13.500,00 EUR, a odnose se na otkup zemljišta.</w:t>
      </w:r>
    </w:p>
    <w:p>
      <w:pPr>
        <w:autoSpaceDE w:val="0"/>
        <w:autoSpaceDN w:val="0"/>
        <w:adjustRightInd w:val="0"/>
        <w:spacing w:after="0" w:line="240" w:lineRule="auto"/>
        <w:jc w:val="both"/>
        <w:rPr>
          <w:rFonts w:ascii="Arial" w:hAnsi="Arial" w:cs="Arial"/>
          <w:bCs/>
          <w:sz w:val="24"/>
          <w:szCs w:val="24"/>
        </w:rPr>
      </w:pPr>
    </w:p>
    <w:p>
      <w:pPr>
        <w:jc w:val="both"/>
        <w:rPr>
          <w:rFonts w:ascii="Arial" w:hAnsi="Arial" w:cs="Arial"/>
          <w:bCs/>
          <w:sz w:val="24"/>
          <w:szCs w:val="24"/>
        </w:rPr>
      </w:pPr>
      <w:r>
        <w:rPr>
          <w:rFonts w:ascii="Arial" w:hAnsi="Arial" w:cs="Arial"/>
          <w:bCs/>
          <w:sz w:val="24"/>
          <w:szCs w:val="24"/>
        </w:rPr>
        <w:lastRenderedPageBreak/>
        <w:t xml:space="preserve">42 Rashodi za nabavu proizvedene dugotrajne imovine iznose </w:t>
      </w:r>
      <w:r>
        <w:rPr>
          <w:rFonts w:ascii="Arial" w:eastAsia="Times New Roman" w:hAnsi="Arial" w:cs="Arial"/>
          <w:sz w:val="24"/>
          <w:szCs w:val="20"/>
          <w:lang w:eastAsia="hr-HR"/>
        </w:rPr>
        <w:t xml:space="preserve">773.600,00 </w:t>
      </w:r>
      <w:r>
        <w:rPr>
          <w:rFonts w:ascii="Arial" w:hAnsi="Arial" w:cs="Arial"/>
          <w:bCs/>
          <w:sz w:val="24"/>
          <w:szCs w:val="24"/>
        </w:rPr>
        <w:t>eura, a odnosi se na rashode za građevinske objekte, postrojenja i opremu, knjige i nematerijalnu proizvedenu imovinu.</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45 Rashodi za dodatna ulaganja na nefinancijskoj imovini iznose 1.850.400,00 eura i odnose se na dodatna ulaganja na građevinske objekte.</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Style w:val="markedcontent"/>
          <w:rFonts w:ascii="Arial" w:hAnsi="Arial" w:cs="Arial"/>
          <w:b/>
          <w:i/>
          <w:sz w:val="24"/>
          <w:szCs w:val="30"/>
        </w:rPr>
      </w:pPr>
      <w:r>
        <w:br/>
      </w:r>
      <w:r>
        <w:rPr>
          <w:rStyle w:val="markedcontent"/>
          <w:rFonts w:ascii="Arial" w:hAnsi="Arial" w:cs="Arial"/>
          <w:b/>
          <w:i/>
          <w:sz w:val="24"/>
          <w:szCs w:val="30"/>
        </w:rPr>
        <w:t>1.2. Račun financiranja</w:t>
      </w:r>
    </w:p>
    <w:p>
      <w:pPr>
        <w:autoSpaceDE w:val="0"/>
        <w:autoSpaceDN w:val="0"/>
        <w:adjustRightInd w:val="0"/>
        <w:spacing w:after="0" w:line="240" w:lineRule="auto"/>
        <w:jc w:val="both"/>
        <w:rPr>
          <w:rStyle w:val="markedcontent"/>
          <w:rFonts w:ascii="Arial" w:hAnsi="Arial" w:cs="Arial"/>
          <w:b/>
          <w:i/>
          <w:sz w:val="24"/>
          <w:szCs w:val="30"/>
        </w:rPr>
      </w:pPr>
    </w:p>
    <w:p>
      <w:pPr>
        <w:autoSpaceDE w:val="0"/>
        <w:autoSpaceDN w:val="0"/>
        <w:adjustRightInd w:val="0"/>
        <w:spacing w:after="0" w:line="240" w:lineRule="auto"/>
        <w:jc w:val="both"/>
        <w:rPr>
          <w:rStyle w:val="markedcontent"/>
          <w:rFonts w:ascii="Arial" w:hAnsi="Arial" w:cs="Arial"/>
          <w:sz w:val="24"/>
          <w:szCs w:val="30"/>
        </w:rPr>
      </w:pPr>
      <w:r>
        <w:rPr>
          <w:rStyle w:val="markedcontent"/>
          <w:rFonts w:ascii="Arial" w:hAnsi="Arial" w:cs="Arial"/>
          <w:sz w:val="24"/>
          <w:szCs w:val="30"/>
        </w:rPr>
        <w:t>Unutar računa financiranja iskazani su ukupni primici od financijske imovine i zaduživanja i</w:t>
      </w:r>
      <w:r>
        <w:rPr>
          <w:sz w:val="18"/>
        </w:rPr>
        <w:t xml:space="preserve"> </w:t>
      </w:r>
      <w:r>
        <w:rPr>
          <w:rStyle w:val="markedcontent"/>
          <w:rFonts w:ascii="Arial" w:hAnsi="Arial" w:cs="Arial"/>
          <w:sz w:val="24"/>
          <w:szCs w:val="30"/>
        </w:rPr>
        <w:t>izdaci za financijsku imovinu i otplate zaduživanja prema izvorima financiranja i ekonomskoj</w:t>
      </w:r>
      <w:r>
        <w:rPr>
          <w:sz w:val="18"/>
        </w:rPr>
        <w:t xml:space="preserve"> </w:t>
      </w:r>
      <w:r>
        <w:rPr>
          <w:rStyle w:val="markedcontent"/>
          <w:rFonts w:ascii="Arial" w:hAnsi="Arial" w:cs="Arial"/>
          <w:sz w:val="24"/>
          <w:szCs w:val="30"/>
        </w:rPr>
        <w:t>klasifikaciji.</w:t>
      </w:r>
    </w:p>
    <w:p>
      <w:pPr>
        <w:autoSpaceDE w:val="0"/>
        <w:autoSpaceDN w:val="0"/>
        <w:adjustRightInd w:val="0"/>
        <w:spacing w:after="0" w:line="240" w:lineRule="auto"/>
        <w:jc w:val="both"/>
        <w:rPr>
          <w:rStyle w:val="markedcontent"/>
          <w:rFonts w:ascii="Arial" w:hAnsi="Arial" w:cs="Arial"/>
          <w:sz w:val="24"/>
          <w:szCs w:val="30"/>
        </w:rPr>
      </w:pPr>
    </w:p>
    <w:p>
      <w:pPr>
        <w:autoSpaceDE w:val="0"/>
        <w:autoSpaceDN w:val="0"/>
        <w:adjustRightInd w:val="0"/>
        <w:spacing w:after="0" w:line="240" w:lineRule="auto"/>
        <w:jc w:val="both"/>
        <w:rPr>
          <w:rStyle w:val="markedcontent"/>
          <w:rFonts w:ascii="Arial" w:hAnsi="Arial" w:cs="Arial"/>
          <w:sz w:val="24"/>
          <w:szCs w:val="30"/>
        </w:rPr>
      </w:pPr>
      <w:r>
        <w:rPr>
          <w:rStyle w:val="markedcontent"/>
          <w:rFonts w:ascii="Arial" w:hAnsi="Arial" w:cs="Arial"/>
          <w:sz w:val="24"/>
          <w:szCs w:val="30"/>
        </w:rPr>
        <w:t>84 Primici od zaduživanja nisu planirani u proračunu za 2026. godinu.</w:t>
      </w:r>
    </w:p>
    <w:p>
      <w:pPr>
        <w:autoSpaceDE w:val="0"/>
        <w:autoSpaceDN w:val="0"/>
        <w:adjustRightInd w:val="0"/>
        <w:spacing w:after="0" w:line="240" w:lineRule="auto"/>
        <w:jc w:val="both"/>
        <w:rPr>
          <w:rStyle w:val="markedcontent"/>
          <w:rFonts w:ascii="Arial" w:hAnsi="Arial" w:cs="Arial"/>
          <w:sz w:val="24"/>
          <w:szCs w:val="30"/>
        </w:rPr>
      </w:pPr>
    </w:p>
    <w:p>
      <w:pPr>
        <w:autoSpaceDE w:val="0"/>
        <w:autoSpaceDN w:val="0"/>
        <w:adjustRightInd w:val="0"/>
        <w:spacing w:after="0" w:line="240" w:lineRule="auto"/>
        <w:jc w:val="both"/>
        <w:rPr>
          <w:rStyle w:val="markedcontent"/>
          <w:rFonts w:ascii="Arial" w:hAnsi="Arial" w:cs="Arial"/>
          <w:sz w:val="24"/>
          <w:szCs w:val="30"/>
        </w:rPr>
      </w:pPr>
      <w:r>
        <w:rPr>
          <w:rStyle w:val="markedcontent"/>
          <w:rFonts w:ascii="Arial" w:hAnsi="Arial" w:cs="Arial"/>
          <w:sz w:val="24"/>
          <w:szCs w:val="30"/>
        </w:rPr>
        <w:t>54 Izdaci za otplatu glavnice primljenih kredita i zajmova planirani su u iznosu od 27.000,00 EUR, a odnose se na otplatu kredita primljenog od HBOR-a za Rekonstrukciju DVD-a Pokupsko u iznosu od 20.000,00 eura i dijela beskamatnog zajma dobivenog iz državnog proračuna.</w:t>
      </w:r>
    </w:p>
    <w:p>
      <w:pPr>
        <w:autoSpaceDE w:val="0"/>
        <w:autoSpaceDN w:val="0"/>
        <w:adjustRightInd w:val="0"/>
        <w:spacing w:after="0" w:line="240" w:lineRule="auto"/>
        <w:jc w:val="both"/>
        <w:rPr>
          <w:rStyle w:val="markedcontent"/>
          <w:rFonts w:ascii="Arial" w:hAnsi="Arial" w:cs="Arial"/>
          <w:sz w:val="24"/>
          <w:szCs w:val="30"/>
        </w:rPr>
      </w:pPr>
    </w:p>
    <w:p>
      <w:pPr>
        <w:autoSpaceDE w:val="0"/>
        <w:autoSpaceDN w:val="0"/>
        <w:adjustRightInd w:val="0"/>
        <w:spacing w:after="0" w:line="240" w:lineRule="auto"/>
        <w:jc w:val="both"/>
        <w:rPr>
          <w:rStyle w:val="markedcontent"/>
          <w:rFonts w:ascii="Arial" w:hAnsi="Arial" w:cs="Arial"/>
          <w:sz w:val="24"/>
          <w:szCs w:val="30"/>
        </w:rPr>
      </w:pPr>
    </w:p>
    <w:p>
      <w:pPr>
        <w:autoSpaceDE w:val="0"/>
        <w:autoSpaceDN w:val="0"/>
        <w:adjustRightInd w:val="0"/>
        <w:spacing w:after="0" w:line="240" w:lineRule="auto"/>
        <w:jc w:val="both"/>
        <w:rPr>
          <w:rStyle w:val="markedcontent"/>
          <w:rFonts w:ascii="Arial" w:hAnsi="Arial" w:cs="Arial"/>
          <w:sz w:val="24"/>
          <w:szCs w:val="30"/>
        </w:rPr>
      </w:pPr>
    </w:p>
    <w:p>
      <w:pPr>
        <w:pStyle w:val="ListParagraph"/>
        <w:numPr>
          <w:ilvl w:val="0"/>
          <w:numId w:val="1"/>
        </w:num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OBRAZLOŽENJE POSEBNOG DIJELA PRORAČUNA</w:t>
      </w:r>
    </w:p>
    <w:p>
      <w:pPr>
        <w:autoSpaceDE w:val="0"/>
        <w:autoSpaceDN w:val="0"/>
        <w:adjustRightInd w:val="0"/>
        <w:spacing w:after="0" w:line="240" w:lineRule="auto"/>
        <w:jc w:val="both"/>
        <w:rPr>
          <w:rFonts w:ascii="Arial" w:hAnsi="Arial" w:cs="Arial"/>
          <w:b/>
          <w:bCs/>
          <w:sz w:val="24"/>
          <w:szCs w:val="24"/>
        </w:rPr>
      </w:pPr>
    </w:p>
    <w:p>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RAZDJEL 001 JEDINSTVENI UPRAVNI ODJEL</w:t>
      </w:r>
    </w:p>
    <w:p>
      <w:pPr>
        <w:autoSpaceDE w:val="0"/>
        <w:autoSpaceDN w:val="0"/>
        <w:adjustRightInd w:val="0"/>
        <w:spacing w:after="0" w:line="240" w:lineRule="auto"/>
        <w:jc w:val="both"/>
        <w:rPr>
          <w:rFonts w:ascii="Arial" w:hAnsi="Arial" w:cs="Arial"/>
          <w:b/>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Obrazloženje programa: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PROGRAM 0111 JAVNA UPRAVA I ADMINISTRACIJA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caps/>
          <w:sz w:val="24"/>
          <w:szCs w:val="24"/>
        </w:rPr>
      </w:pPr>
      <w:r>
        <w:rPr>
          <w:rFonts w:ascii="Arial" w:hAnsi="Arial" w:cs="Arial"/>
          <w:bCs/>
          <w:sz w:val="24"/>
          <w:szCs w:val="24"/>
        </w:rPr>
        <w:t xml:space="preserve">0111 </w:t>
      </w:r>
      <w:r>
        <w:rPr>
          <w:rFonts w:ascii="Arial" w:hAnsi="Arial" w:cs="Arial"/>
          <w:bCs/>
          <w:caps/>
          <w:sz w:val="24"/>
          <w:szCs w:val="24"/>
        </w:rPr>
        <w:t>Javna uprava i administracija:</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ovog programa planirana su proračunska sredstva koja su potrebna za neometano djelovanje Općine Pokupsko kao nositelja lokalne samouprave sukladno Zakonu o lokalnoj i područnoj (regionalnoj) samoupravi, a odnose se na rashode za zaposlene, rashode za materijal i energiju, rashodi za usluge (telekomunikacijske, poštanske, intelektualne, računalne, usluge promidžbe i informiranja, zakupnine i najamnine), ostale nespomenute rashode poslovanja (tr.protokola,članarine, pristojbe i naknade, reprezentacija), financijski rashodi (tr.banke i usluga platnog prometa), rashodi za nabavu dugotrajne imovine (oprema za potrebe JUO).</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0112 OPĆINSKA TIJELA:</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Aktivnost A000112 OPĆINSKO VIJEĆE:</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ove aktivnosti planirani su troškovi naknada za rad vijećnika.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Aktivnost A100113 REDOVNO FUNKCIONIRANJE MJESNIH ODBORA:</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ove aktivnosti planirani su troškovi za potrebe redovnog funkcioniranje mjesnih odbora.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Aktivnosti A100116 SAVJET MLADIH:</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ove aktivnosti planirani su troškovi djelovanja savjeta mladih Općine Pokupsko.</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Program 0114 PROGRAM ZAŽELI:</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ovog programa planirano je 318.000,00 eura za trošak plaća za 15 žena kao pomoć za 90 krajnjih korisnika, te voditelja i asistenta na projektu. U okviru programa su planirani i troškovi paketa za krajnje korisnike.</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Projekt je financiran 85% iz Europskog socijalnog fonda i 15% iz proračuna RH.</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1116 SANACIJA POSLJEDICA POTRESA (28.i29.12.2020)</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T160001 Pomoć građanima i kućanstvima nakon potresa:</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ovog programa planirano je 4.000,00 eura za nužne zahvate (popravak el. instalacija, vodovodnih) na mobilnim jedinicama za stanovanje.</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T160004 SANACIJA JAVNIH ZGRADA OŠTEĆENIH U POTRESU</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 xml:space="preserve">U okviru ovog projekta planirani su rashodi za obnovu (projekti sanacije, radovi obnove) DK </w:t>
      </w:r>
      <w:proofErr w:type="spellStart"/>
      <w:r>
        <w:rPr>
          <w:rFonts w:ascii="Arial" w:hAnsi="Arial" w:cs="Arial"/>
          <w:bCs/>
          <w:sz w:val="24"/>
          <w:szCs w:val="24"/>
        </w:rPr>
        <w:t>Krpečanci</w:t>
      </w:r>
      <w:proofErr w:type="spellEnd"/>
      <w:r>
        <w:rPr>
          <w:rFonts w:ascii="Arial" w:hAnsi="Arial" w:cs="Arial"/>
          <w:bCs/>
          <w:sz w:val="24"/>
          <w:szCs w:val="24"/>
        </w:rPr>
        <w:t xml:space="preserve"> i DK Lukinić Brdo.</w:t>
      </w:r>
    </w:p>
    <w:p>
      <w:pPr>
        <w:autoSpaceDE w:val="0"/>
        <w:autoSpaceDN w:val="0"/>
        <w:adjustRightInd w:val="0"/>
        <w:spacing w:after="0" w:line="240" w:lineRule="auto"/>
        <w:jc w:val="both"/>
        <w:rPr>
          <w:rFonts w:ascii="Arial" w:hAnsi="Arial" w:cs="Arial"/>
          <w:bCs/>
          <w:sz w:val="24"/>
          <w:szCs w:val="24"/>
        </w:rPr>
      </w:pPr>
    </w:p>
    <w:p>
      <w:pPr>
        <w:ind w:firstLine="708"/>
        <w:jc w:val="both"/>
        <w:rPr>
          <w:rFonts w:ascii="Arial" w:hAnsi="Arial" w:cs="Arial"/>
          <w:sz w:val="24"/>
        </w:rPr>
      </w:pPr>
      <w:r>
        <w:rPr>
          <w:rFonts w:ascii="Arial" w:hAnsi="Arial" w:cs="Arial"/>
          <w:b/>
          <w:color w:val="000000" w:themeColor="text1"/>
          <w:sz w:val="24"/>
        </w:rPr>
        <w:t>OPĆI CILJ:</w:t>
      </w:r>
      <w:r>
        <w:rPr>
          <w:rFonts w:ascii="Arial" w:hAnsi="Arial" w:cs="Arial"/>
          <w:color w:val="000000" w:themeColor="text1"/>
          <w:sz w:val="24"/>
        </w:rPr>
        <w:t xml:space="preserve"> </w:t>
      </w:r>
      <w:r>
        <w:rPr>
          <w:rFonts w:ascii="Arial" w:hAnsi="Arial" w:cs="Arial"/>
          <w:sz w:val="24"/>
        </w:rPr>
        <w:t xml:space="preserve">Provođenje redovnih aktivnosti i poslova utvrđenih Pravilnikom o unutarnjem ustrojstvu putem opisa i popisa poslova za  zaposlenike. Efikasno obavljanje poslova i zadaća od lokalnog značaja, te razvoj demokratskog sustava. </w:t>
      </w:r>
    </w:p>
    <w:p>
      <w:pPr>
        <w:ind w:firstLine="708"/>
        <w:jc w:val="both"/>
        <w:rPr>
          <w:rFonts w:ascii="Arial" w:hAnsi="Arial" w:cs="Arial"/>
          <w:sz w:val="24"/>
        </w:rPr>
      </w:pPr>
      <w:r>
        <w:rPr>
          <w:rFonts w:ascii="Arial" w:hAnsi="Arial" w:cs="Arial"/>
          <w:b/>
          <w:sz w:val="24"/>
        </w:rPr>
        <w:t>POSEBNI CILJ</w:t>
      </w:r>
      <w:r>
        <w:rPr>
          <w:rFonts w:ascii="Arial" w:hAnsi="Arial" w:cs="Arial"/>
          <w:sz w:val="24"/>
        </w:rPr>
        <w:t>: Povećanje efikasnosti izvršavanja Proračuna i namjenskog korištenja proračunskih sredstava. Utvrđivanje i provođenje rada, ciljeva i razvoja Općine Pokupsko.</w:t>
      </w:r>
    </w:p>
    <w:p>
      <w:pPr>
        <w:ind w:firstLine="708"/>
        <w:jc w:val="both"/>
        <w:rPr>
          <w:rFonts w:ascii="Arial" w:hAnsi="Arial" w:cs="Arial"/>
          <w:sz w:val="24"/>
        </w:rPr>
      </w:pPr>
      <w:r>
        <w:rPr>
          <w:rFonts w:ascii="Arial" w:hAnsi="Arial" w:cs="Arial"/>
          <w:b/>
          <w:sz w:val="24"/>
        </w:rPr>
        <w:t>POKAZATELJ USPJEŠNOSTI:</w:t>
      </w:r>
      <w:r>
        <w:rPr>
          <w:rFonts w:ascii="Arial" w:hAnsi="Arial" w:cs="Arial"/>
          <w:sz w:val="24"/>
        </w:rPr>
        <w:t xml:space="preserve"> Zadovoljstvo mještana radom Jedinstvenog upravnog odjela, te povećanje stupnja uspješnosti provedbe operativnih ciljeva i zadataka. Uspješnost realizacije sanacije štete od potresa na nerazvrstanim cestama, zadovoljstvo mještana.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Program 1211 JAVNU RED I SIGURNOST:</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 xml:space="preserve">Planirana su sredstva za financiranje DVD-a, Crvenog križa, HGSS-a u ukupnom iznosu od 47.356,01 EUR. Također planirani su rashodi za premije osiguranja vozila, naknade vatrogascima za izlaske na intervencije, zbrinjavanje životinja, deratizaciju, stručne poslove zaštite na radu, godišnji servis vatrogasnih aparata, prijevoz pokojnika na obdukciju, postavljanje </w:t>
      </w:r>
      <w:proofErr w:type="spellStart"/>
      <w:r>
        <w:rPr>
          <w:rFonts w:ascii="Arial" w:hAnsi="Arial" w:cs="Arial"/>
          <w:bCs/>
          <w:sz w:val="24"/>
          <w:szCs w:val="24"/>
        </w:rPr>
        <w:t>videonadzora</w:t>
      </w:r>
      <w:proofErr w:type="spellEnd"/>
      <w:r>
        <w:rPr>
          <w:rFonts w:ascii="Arial" w:hAnsi="Arial" w:cs="Arial"/>
          <w:bCs/>
          <w:sz w:val="24"/>
          <w:szCs w:val="24"/>
        </w:rPr>
        <w:t xml:space="preserve"> u centru Pokupskog u ukupnom iznosu od 64.800,00 EUR.</w:t>
      </w:r>
    </w:p>
    <w:p>
      <w:pPr>
        <w:autoSpaceDE w:val="0"/>
        <w:autoSpaceDN w:val="0"/>
        <w:adjustRightInd w:val="0"/>
        <w:spacing w:after="0" w:line="240" w:lineRule="auto"/>
        <w:jc w:val="both"/>
        <w:rPr>
          <w:rFonts w:ascii="Arial" w:hAnsi="Arial" w:cs="Arial"/>
          <w:bCs/>
          <w:sz w:val="24"/>
          <w:szCs w:val="24"/>
        </w:rPr>
      </w:pPr>
    </w:p>
    <w:p>
      <w:pPr>
        <w:suppressAutoHyphens/>
        <w:spacing w:after="0" w:line="240" w:lineRule="auto"/>
        <w:ind w:firstLine="708"/>
        <w:jc w:val="both"/>
        <w:rPr>
          <w:rFonts w:ascii="Arial" w:eastAsia="Times New Roman" w:hAnsi="Arial" w:cs="Arial"/>
          <w:sz w:val="24"/>
          <w:szCs w:val="24"/>
          <w:lang w:eastAsia="ar-SA"/>
        </w:rPr>
      </w:pPr>
      <w:r>
        <w:rPr>
          <w:rFonts w:ascii="Arial" w:eastAsia="Times New Roman" w:hAnsi="Arial" w:cs="Arial"/>
          <w:b/>
          <w:sz w:val="24"/>
          <w:szCs w:val="24"/>
          <w:lang w:eastAsia="ar-SA"/>
        </w:rPr>
        <w:t>OPĆI CILJ:</w:t>
      </w:r>
      <w:r>
        <w:rPr>
          <w:rFonts w:ascii="Arial" w:eastAsia="Times New Roman" w:hAnsi="Arial" w:cs="Arial"/>
          <w:sz w:val="24"/>
          <w:szCs w:val="24"/>
          <w:lang w:eastAsia="ar-SA"/>
        </w:rPr>
        <w:t xml:space="preserve"> Organizacija financiranja planiranih djelatnosti i opremanje u svrhu efikasnije zaštite ljudi i imovine.</w:t>
      </w:r>
    </w:p>
    <w:p>
      <w:pPr>
        <w:suppressAutoHyphens/>
        <w:spacing w:after="0" w:line="240" w:lineRule="auto"/>
        <w:ind w:firstLine="708"/>
        <w:jc w:val="both"/>
        <w:rPr>
          <w:rFonts w:ascii="Arial" w:eastAsia="Times New Roman" w:hAnsi="Arial" w:cs="Arial"/>
          <w:sz w:val="24"/>
          <w:szCs w:val="24"/>
          <w:lang w:eastAsia="ar-SA"/>
        </w:rPr>
      </w:pPr>
      <w:r>
        <w:rPr>
          <w:rFonts w:ascii="Arial" w:eastAsia="Times New Roman" w:hAnsi="Arial" w:cs="Arial"/>
          <w:b/>
          <w:sz w:val="24"/>
          <w:szCs w:val="24"/>
          <w:lang w:eastAsia="ar-SA"/>
        </w:rPr>
        <w:t>POSEBNI CILJ:</w:t>
      </w:r>
      <w:r>
        <w:rPr>
          <w:rFonts w:ascii="Arial" w:eastAsia="Times New Roman" w:hAnsi="Arial" w:cs="Arial"/>
          <w:sz w:val="24"/>
          <w:szCs w:val="24"/>
          <w:lang w:eastAsia="ar-SA"/>
        </w:rPr>
        <w:t xml:space="preserve"> Osigurati uvjete za učinkovitu i uspješnu zaštitu i spašavanje ljudi i imovine.</w:t>
      </w:r>
    </w:p>
    <w:p>
      <w:pPr>
        <w:suppressAutoHyphens/>
        <w:spacing w:after="0" w:line="240" w:lineRule="auto"/>
        <w:ind w:firstLine="708"/>
        <w:jc w:val="both"/>
        <w:rPr>
          <w:rFonts w:ascii="Arial" w:eastAsia="Times New Roman" w:hAnsi="Arial" w:cs="Arial"/>
          <w:sz w:val="24"/>
          <w:szCs w:val="24"/>
          <w:lang w:eastAsia="ar-SA"/>
        </w:rPr>
      </w:pPr>
      <w:r>
        <w:rPr>
          <w:rFonts w:ascii="Arial" w:eastAsia="Times New Roman" w:hAnsi="Arial" w:cs="Arial"/>
          <w:b/>
          <w:sz w:val="24"/>
          <w:szCs w:val="24"/>
          <w:lang w:eastAsia="ar-SA"/>
        </w:rPr>
        <w:t>POKAZATELJ USPJEŠNOSTI</w:t>
      </w:r>
      <w:r>
        <w:rPr>
          <w:rFonts w:ascii="Arial" w:eastAsia="Times New Roman" w:hAnsi="Arial" w:cs="Arial"/>
          <w:sz w:val="24"/>
          <w:szCs w:val="24"/>
          <w:lang w:eastAsia="ar-SA"/>
        </w:rPr>
        <w:t>: Unapređenje opremljenosti snaga za zaštitu i spašavanje, brzina i uspješnost hitnih intervencija.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Program 0131 PROGRAM DRUŠTEVNIH DJELATNOSTI:</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A001311 PROGRAM POTREBA U KULTURI:</w:t>
      </w:r>
      <w:r>
        <w:rPr>
          <w:rFonts w:ascii="Arial" w:hAnsi="Arial" w:cs="Arial"/>
          <w:bCs/>
          <w:sz w:val="24"/>
          <w:szCs w:val="24"/>
        </w:rPr>
        <w:tab/>
        <w:t xml:space="preserve"> </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Planirani rashodi iznose 13.000,00 EUR, a odnose se na financiranje projekata i programa udruga iz područja kulture u iznosu od 7.000,00 eura i 6.000,00 eura za izradu Monografije NK Kupe.</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A001312 VJERSKE USTANOVE:</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ove aktivnosti planirani su rashodi u iznosu od 2.500,00 EUR, za potrebe Župe.</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A001313 SPORTSKE AKTIVNOSTI:</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Planirani rashodi iznose 23.000,00 EUR, a odnose se na financiranje projekata i programa u području sporta i dodjelu nagrada za iznimne uspjehe u sportu.</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A001314 PROGRAM SOCIJALNE SKRBI:</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ovog programa planirane su pomoći u iznosu od 94.000,00 eura za opremu za novorođenčad, naknada za troškove stanovanja, jednokratne pomoći, naknada za grobno mjesto i trošak grobnog mjesta za branitelje, program Pomoć u kući, božićnice za umirovljenike, sufinanciranje rada liječnika opće prakse, subvencija troškova prijevoza osoba s invaliditetom.</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A001317 POLITIČKE STRANKE I UDRUGE DRUŠTVENIH SKUPINA:</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Za programe i projekte udruga društvenih skupina planirana su sredstva u iznosu od 2.500,00 EUR, za redovno djelovanje političkih stranaka 2.000,00 eura, za dodjelu priznanja planirano je 5.000,00 eura.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A101318  ŠKOLSTVO:</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 xml:space="preserve">U okviru ove aktivnosti planirani su rashodi za subvenciju prijevoza učenika i studenata, stipendije, darovi za </w:t>
      </w:r>
      <w:proofErr w:type="spellStart"/>
      <w:r>
        <w:rPr>
          <w:rFonts w:ascii="Arial" w:hAnsi="Arial" w:cs="Arial"/>
          <w:bCs/>
          <w:sz w:val="24"/>
          <w:szCs w:val="24"/>
        </w:rPr>
        <w:t>sv.Nikolu</w:t>
      </w:r>
      <w:proofErr w:type="spellEnd"/>
      <w:r>
        <w:rPr>
          <w:rFonts w:ascii="Arial" w:hAnsi="Arial" w:cs="Arial"/>
          <w:bCs/>
          <w:sz w:val="24"/>
          <w:szCs w:val="24"/>
        </w:rPr>
        <w:t>, subvenciju programa škola u prirodi i radni materijali za osnovnu školu. Ukupan iznos rashoda iznosi 56.700,00 EUR.</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A101319 PREDŠKOLSKI ODGOJ:</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Ukupan iznos planiranih sredstava je 205.000,00 EUR, a odnosi se na rashode subvencije polaznicima dječjeg vrtića na području Općina Pokupsko, Kravarsko i Pisarovina, te na području Grada Velike Gorice.</w:t>
      </w:r>
    </w:p>
    <w:p>
      <w:pPr>
        <w:autoSpaceDE w:val="0"/>
        <w:autoSpaceDN w:val="0"/>
        <w:adjustRightInd w:val="0"/>
        <w:spacing w:after="0" w:line="240" w:lineRule="auto"/>
        <w:jc w:val="both"/>
        <w:rPr>
          <w:rFonts w:ascii="Arial" w:hAnsi="Arial" w:cs="Arial"/>
          <w:bCs/>
          <w:sz w:val="24"/>
          <w:szCs w:val="24"/>
        </w:rPr>
      </w:pPr>
    </w:p>
    <w:p>
      <w:pPr>
        <w:suppressAutoHyphens/>
        <w:spacing w:after="0" w:line="240" w:lineRule="auto"/>
        <w:ind w:firstLine="708"/>
        <w:jc w:val="both"/>
        <w:rPr>
          <w:rFonts w:ascii="Arial" w:eastAsia="Times New Roman" w:hAnsi="Arial" w:cs="Arial"/>
          <w:sz w:val="24"/>
          <w:szCs w:val="24"/>
          <w:lang w:eastAsia="ar-SA"/>
        </w:rPr>
      </w:pPr>
      <w:r>
        <w:rPr>
          <w:rFonts w:ascii="Arial" w:eastAsia="Times New Roman" w:hAnsi="Arial" w:cs="Arial"/>
          <w:b/>
          <w:sz w:val="24"/>
          <w:szCs w:val="24"/>
          <w:lang w:eastAsia="ar-SA"/>
        </w:rPr>
        <w:t>OPĆI CILJ:</w:t>
      </w:r>
      <w:r>
        <w:rPr>
          <w:rFonts w:ascii="Arial" w:eastAsia="Times New Roman" w:hAnsi="Arial" w:cs="Arial"/>
          <w:sz w:val="24"/>
          <w:szCs w:val="24"/>
          <w:lang w:eastAsia="ar-SA"/>
        </w:rPr>
        <w:t xml:space="preserve"> Djelovanje i rad udruga društvenih i kulturnih skupina, te očuvanje kulturnog identiteta. Financiranje rada i djelovanja ostalih udruga i zajednica. Promicanje sporta u svrhu očuvanja zdravlja. Pomoći za potrebe korisnicima koji nemaju dovoljno sredstava za podmirenje osnovnih životnih potreba . Osiguranje višeg stupnja i standarda obrazovanja putem subvencija i pomoći obiteljima u podmirenju troškova.</w:t>
      </w:r>
    </w:p>
    <w:p>
      <w:pPr>
        <w:suppressAutoHyphens/>
        <w:spacing w:after="0" w:line="240" w:lineRule="auto"/>
        <w:ind w:firstLine="360"/>
        <w:jc w:val="both"/>
        <w:rPr>
          <w:rFonts w:ascii="Arial" w:eastAsia="Times New Roman" w:hAnsi="Arial" w:cs="Arial"/>
          <w:sz w:val="24"/>
          <w:szCs w:val="24"/>
          <w:lang w:eastAsia="ar-SA"/>
        </w:rPr>
      </w:pPr>
    </w:p>
    <w:p>
      <w:pPr>
        <w:suppressAutoHyphens/>
        <w:spacing w:after="0" w:line="240" w:lineRule="auto"/>
        <w:ind w:firstLine="360"/>
        <w:jc w:val="both"/>
        <w:rPr>
          <w:rFonts w:ascii="Arial" w:eastAsia="Times New Roman" w:hAnsi="Arial" w:cs="Arial"/>
          <w:sz w:val="24"/>
          <w:szCs w:val="24"/>
          <w:lang w:eastAsia="ar-SA"/>
        </w:rPr>
      </w:pPr>
    </w:p>
    <w:p>
      <w:pPr>
        <w:suppressAutoHyphens/>
        <w:spacing w:after="0" w:line="240" w:lineRule="auto"/>
        <w:ind w:firstLine="708"/>
        <w:jc w:val="both"/>
        <w:rPr>
          <w:rFonts w:ascii="Arial" w:eastAsia="Times New Roman" w:hAnsi="Arial" w:cs="Arial"/>
          <w:sz w:val="24"/>
          <w:szCs w:val="24"/>
          <w:lang w:eastAsia="ar-SA"/>
        </w:rPr>
      </w:pPr>
      <w:r>
        <w:rPr>
          <w:rFonts w:ascii="Arial" w:eastAsia="Times New Roman" w:hAnsi="Arial" w:cs="Arial"/>
          <w:b/>
          <w:sz w:val="24"/>
          <w:szCs w:val="24"/>
          <w:lang w:eastAsia="ar-SA"/>
        </w:rPr>
        <w:t>POSEBNI CILJ:</w:t>
      </w:r>
      <w:r>
        <w:rPr>
          <w:rFonts w:ascii="Arial" w:eastAsia="Times New Roman" w:hAnsi="Arial" w:cs="Arial"/>
          <w:sz w:val="24"/>
          <w:szCs w:val="24"/>
          <w:lang w:eastAsia="ar-SA"/>
        </w:rPr>
        <w:t xml:space="preserve"> Razvoj i poticanje kvalitetnih i uspješnih programa u kulturi, unapređenje kulturnog i društvenog života, te prezentacija lokalne tradicijske baštine. Poticanje djelovanja korisnih sadržaja, vjerskih zajednica, udruga branitelja, umirovljenika itd. Poticanje mladih sportaša, okupljanja građana i promicanje sporta. Osigurati osnovne životne potrebe obiteljima slabijeg socijalnog stanja. Podizanje kvalitete odgoja i obrazovanja, te očuvanje tjelesnog i mentalnog zdravlja djece. Uključivanje što većeg broja djece u programe kojima se osigurava odgoj, naobrazba, njega i zdravstvena zaštita djece predškolske dobi.</w:t>
      </w:r>
    </w:p>
    <w:p>
      <w:pPr>
        <w:suppressAutoHyphens/>
        <w:spacing w:after="0" w:line="240" w:lineRule="auto"/>
        <w:ind w:firstLine="360"/>
        <w:jc w:val="both"/>
        <w:rPr>
          <w:rFonts w:ascii="Arial" w:eastAsia="Times New Roman" w:hAnsi="Arial" w:cs="Arial"/>
          <w:sz w:val="24"/>
          <w:szCs w:val="24"/>
          <w:lang w:eastAsia="ar-SA"/>
        </w:rPr>
      </w:pPr>
    </w:p>
    <w:p>
      <w:pPr>
        <w:suppressAutoHyphens/>
        <w:spacing w:after="0" w:line="240" w:lineRule="auto"/>
        <w:ind w:firstLine="360"/>
        <w:jc w:val="both"/>
        <w:rPr>
          <w:rFonts w:ascii="Arial" w:eastAsia="Times New Roman" w:hAnsi="Arial" w:cs="Arial"/>
          <w:sz w:val="24"/>
          <w:szCs w:val="24"/>
          <w:lang w:eastAsia="ar-SA"/>
        </w:rPr>
      </w:pPr>
    </w:p>
    <w:p>
      <w:pPr>
        <w:suppressAutoHyphens/>
        <w:spacing w:after="0" w:line="240" w:lineRule="auto"/>
        <w:ind w:firstLine="708"/>
        <w:jc w:val="both"/>
        <w:rPr>
          <w:rFonts w:ascii="Arial" w:eastAsia="Times New Roman" w:hAnsi="Arial" w:cs="Arial"/>
          <w:sz w:val="24"/>
          <w:szCs w:val="24"/>
          <w:lang w:eastAsia="ar-SA"/>
        </w:rPr>
      </w:pPr>
      <w:r>
        <w:rPr>
          <w:rFonts w:ascii="Arial" w:eastAsia="Times New Roman" w:hAnsi="Arial" w:cs="Arial"/>
          <w:b/>
          <w:sz w:val="24"/>
          <w:szCs w:val="24"/>
          <w:lang w:eastAsia="ar-SA"/>
        </w:rPr>
        <w:t>POKAZATELJ USPJEŠNOSTI:</w:t>
      </w:r>
      <w:r>
        <w:rPr>
          <w:rFonts w:ascii="Arial" w:eastAsia="Times New Roman" w:hAnsi="Arial" w:cs="Arial"/>
          <w:sz w:val="24"/>
          <w:szCs w:val="24"/>
          <w:lang w:eastAsia="ar-SA"/>
        </w:rPr>
        <w:t xml:space="preserve"> Povećanje broja mladih osoba koji su uključeni u programe za promicanje kulture i očuvanje kulturne baštine, obogaćivanje turističke ponude razvojem novih sadržaja i privlačenjem posjetitelja. Unapređenje rada udruga, vjerskih zajednica i razvoja turizma. Povećanje broja članova uključenih u sportske organizacije, te povećanje broja osoba koje se bave sportom. Zadovoljstvo provedenim aktivnostima. Povećanje broja djece uključenih u redovne programe odgoja i predškolskog obrazovanja, te kvaliteta obavljanja redovne djelatnosti predškolske ustanove.</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PROGRAM 0141 ODRŽAVANJE KOMUNALNE INFRASTRUKTURE:</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A0014111 REDOVNO ODRŽAVANJE NERAZVRSTANIH CESTA:</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ove aktivnosti planirano je 135.000,00 EUR, planirani rashodi se odnose na materijal za održavanje, uslugu održavanja, zimsku službu, te izradu plana obilježavanja naziva ulica i trgova i nabavu prometne signalizacije (horizontalne i vertikalne).</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A001415 POLJSKI I ŠUMSKI PUTEVI:</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Planirani rashodi su 40.000,00 EUR, a odnose se na održavanje poljskih i šumskih puteva.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A001416 JAVNA RASVJETA:</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 xml:space="preserve">U okviru ove aktivnosti planirani su troškovi u iznosu od 77.000,00 eura. Na električnu energiju za javnu rasvjetu se odnosi 22.000,00 eura, 20.000,00 eura je planirano za materijal i uslugu redovnog održavanja, 25.000,00 eura za troškove pojačanog održavanja (premještanje svjetiljki sa starih stupova na betonske i sl.) i 10.000,00 eura za implementaciju SGIS sustava za pripremu i upis podataka za katastar infrastrukture. </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A001417 JAVNE POVRŠINE:</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ove aktivnosti planirani su rashodi u iznosu od 100.500,00 EUR za usluge održavanja javnih površina.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A101418 TOPLANA I MREŽA:</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 xml:space="preserve">U okviru ove aktivnosti planirani su rashodi materijala i usluga tekućeg i investicijskog održavanja toplane i </w:t>
      </w:r>
      <w:proofErr w:type="spellStart"/>
      <w:r>
        <w:rPr>
          <w:rFonts w:ascii="Arial" w:hAnsi="Arial" w:cs="Arial"/>
          <w:bCs/>
          <w:sz w:val="24"/>
          <w:szCs w:val="24"/>
        </w:rPr>
        <w:t>toplovoda</w:t>
      </w:r>
      <w:proofErr w:type="spellEnd"/>
      <w:r>
        <w:rPr>
          <w:rFonts w:ascii="Arial" w:hAnsi="Arial" w:cs="Arial"/>
          <w:bCs/>
          <w:sz w:val="24"/>
          <w:szCs w:val="24"/>
        </w:rPr>
        <w:t xml:space="preserve"> u iznosu od 56.000,00 eura.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A101419 MRTVAČNICE:</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Planirani su rashodi u iznosu od 4.000,00 EUR za usluge i materijal tekućeg održavanja, te energiju.</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caps/>
          <w:sz w:val="24"/>
          <w:szCs w:val="24"/>
        </w:rPr>
      </w:pPr>
      <w:r>
        <w:rPr>
          <w:rFonts w:ascii="Arial" w:hAnsi="Arial" w:cs="Arial"/>
          <w:bCs/>
          <w:sz w:val="24"/>
          <w:szCs w:val="24"/>
        </w:rPr>
        <w:t xml:space="preserve">K001412 </w:t>
      </w:r>
      <w:r>
        <w:rPr>
          <w:rFonts w:ascii="Arial" w:hAnsi="Arial" w:cs="Arial"/>
          <w:bCs/>
          <w:caps/>
          <w:sz w:val="24"/>
          <w:szCs w:val="24"/>
        </w:rPr>
        <w:t>Pojačano održavanje općinskih cesta</w:t>
      </w:r>
    </w:p>
    <w:p>
      <w:pPr>
        <w:autoSpaceDE w:val="0"/>
        <w:autoSpaceDN w:val="0"/>
        <w:adjustRightInd w:val="0"/>
        <w:spacing w:after="0" w:line="240" w:lineRule="auto"/>
        <w:jc w:val="both"/>
        <w:rPr>
          <w:rFonts w:ascii="Arial" w:hAnsi="Arial" w:cs="Arial"/>
          <w:bCs/>
          <w:sz w:val="24"/>
          <w:szCs w:val="24"/>
        </w:rPr>
      </w:pPr>
      <w:r>
        <w:rPr>
          <w:rFonts w:ascii="Arial" w:hAnsi="Arial" w:cs="Arial"/>
          <w:bCs/>
          <w:caps/>
          <w:sz w:val="24"/>
          <w:szCs w:val="24"/>
        </w:rPr>
        <w:t>p</w:t>
      </w:r>
      <w:r>
        <w:rPr>
          <w:rFonts w:ascii="Arial" w:hAnsi="Arial" w:cs="Arial"/>
          <w:bCs/>
          <w:sz w:val="24"/>
          <w:szCs w:val="24"/>
        </w:rPr>
        <w:t xml:space="preserve">lanirana sredstva iznose 148.000,00 eura, a odnose se na radove pojačanog održavanja, odnosno asfaltiranja parkinga kod Lovačke kuće Pokupsko, asfaltiranje ulica Sokoli, Kružna Kos, </w:t>
      </w:r>
      <w:proofErr w:type="spellStart"/>
      <w:r>
        <w:rPr>
          <w:rFonts w:ascii="Arial" w:hAnsi="Arial" w:cs="Arial"/>
          <w:bCs/>
          <w:sz w:val="24"/>
          <w:szCs w:val="24"/>
        </w:rPr>
        <w:t>Detičkovec</w:t>
      </w:r>
      <w:proofErr w:type="spellEnd"/>
      <w:r>
        <w:rPr>
          <w:rFonts w:ascii="Arial" w:hAnsi="Arial" w:cs="Arial"/>
          <w:bCs/>
          <w:sz w:val="24"/>
          <w:szCs w:val="24"/>
        </w:rPr>
        <w:t xml:space="preserve"> i </w:t>
      </w:r>
      <w:proofErr w:type="spellStart"/>
      <w:r>
        <w:rPr>
          <w:rFonts w:ascii="Arial" w:hAnsi="Arial" w:cs="Arial"/>
          <w:bCs/>
          <w:sz w:val="24"/>
          <w:szCs w:val="24"/>
        </w:rPr>
        <w:t>Strmec</w:t>
      </w:r>
      <w:proofErr w:type="spellEnd"/>
      <w:r>
        <w:rPr>
          <w:rFonts w:ascii="Arial" w:hAnsi="Arial" w:cs="Arial"/>
          <w:bCs/>
          <w:sz w:val="24"/>
          <w:szCs w:val="24"/>
        </w:rPr>
        <w:t>, te geodetske usluge za potrebe izrade elaborata za upis cesta.</w:t>
      </w:r>
    </w:p>
    <w:p>
      <w:pPr>
        <w:autoSpaceDE w:val="0"/>
        <w:autoSpaceDN w:val="0"/>
        <w:adjustRightInd w:val="0"/>
        <w:spacing w:after="0" w:line="240" w:lineRule="auto"/>
        <w:jc w:val="both"/>
        <w:rPr>
          <w:rFonts w:ascii="Arial" w:hAnsi="Arial" w:cs="Arial"/>
          <w:bCs/>
          <w:sz w:val="24"/>
          <w:szCs w:val="24"/>
        </w:rPr>
      </w:pPr>
    </w:p>
    <w:p>
      <w:pPr>
        <w:suppressAutoHyphens/>
        <w:spacing w:after="0" w:line="240" w:lineRule="auto"/>
        <w:ind w:firstLine="708"/>
        <w:jc w:val="both"/>
        <w:rPr>
          <w:rFonts w:ascii="Arial" w:eastAsia="Times New Roman" w:hAnsi="Arial" w:cs="Arial"/>
          <w:sz w:val="24"/>
          <w:szCs w:val="24"/>
          <w:lang w:eastAsia="ar-SA"/>
        </w:rPr>
      </w:pPr>
      <w:r>
        <w:rPr>
          <w:rFonts w:ascii="Arial" w:eastAsia="Times New Roman" w:hAnsi="Arial" w:cs="Arial"/>
          <w:b/>
          <w:color w:val="000000" w:themeColor="text1"/>
          <w:sz w:val="24"/>
          <w:szCs w:val="24"/>
          <w:lang w:eastAsia="ar-SA"/>
        </w:rPr>
        <w:t>OPĆI CILJ:</w:t>
      </w:r>
      <w:r>
        <w:rPr>
          <w:rFonts w:ascii="Arial" w:eastAsia="Times New Roman" w:hAnsi="Arial" w:cs="Arial"/>
          <w:color w:val="000000" w:themeColor="text1"/>
          <w:sz w:val="24"/>
          <w:szCs w:val="24"/>
          <w:lang w:eastAsia="ar-SA"/>
        </w:rPr>
        <w:t xml:space="preserve"> </w:t>
      </w:r>
      <w:r>
        <w:rPr>
          <w:rFonts w:ascii="Arial" w:eastAsia="Times New Roman" w:hAnsi="Arial" w:cs="Arial"/>
          <w:sz w:val="24"/>
          <w:szCs w:val="24"/>
          <w:lang w:eastAsia="ar-SA"/>
        </w:rPr>
        <w:t>Obavljanje komunalne djelatnosti.</w:t>
      </w:r>
    </w:p>
    <w:p>
      <w:pPr>
        <w:suppressAutoHyphens/>
        <w:spacing w:after="0" w:line="240" w:lineRule="auto"/>
        <w:ind w:firstLine="708"/>
        <w:jc w:val="both"/>
        <w:rPr>
          <w:rFonts w:ascii="Arial" w:eastAsia="Times New Roman" w:hAnsi="Arial" w:cs="Arial"/>
          <w:sz w:val="24"/>
          <w:szCs w:val="24"/>
          <w:lang w:eastAsia="ar-SA"/>
        </w:rPr>
      </w:pPr>
      <w:r>
        <w:rPr>
          <w:rFonts w:ascii="Arial" w:eastAsia="Times New Roman" w:hAnsi="Arial" w:cs="Arial"/>
          <w:b/>
          <w:sz w:val="24"/>
          <w:szCs w:val="24"/>
          <w:lang w:eastAsia="ar-SA"/>
        </w:rPr>
        <w:t>POSEBNI CILJ:</w:t>
      </w:r>
      <w:r>
        <w:rPr>
          <w:rFonts w:ascii="Arial" w:eastAsia="Times New Roman" w:hAnsi="Arial" w:cs="Arial"/>
          <w:sz w:val="24"/>
          <w:szCs w:val="24"/>
          <w:lang w:eastAsia="ar-SA"/>
        </w:rPr>
        <w:t xml:space="preserve"> Kontinuirano i kvalitetno obavljanje komunalne djelatnosti.</w:t>
      </w:r>
    </w:p>
    <w:p>
      <w:pPr>
        <w:suppressAutoHyphens/>
        <w:spacing w:after="0" w:line="240" w:lineRule="auto"/>
        <w:ind w:firstLine="708"/>
        <w:jc w:val="both"/>
        <w:rPr>
          <w:rFonts w:ascii="Arial" w:eastAsia="Times New Roman" w:hAnsi="Arial" w:cs="Arial"/>
          <w:sz w:val="24"/>
          <w:szCs w:val="24"/>
          <w:lang w:eastAsia="ar-SA"/>
        </w:rPr>
      </w:pPr>
      <w:r>
        <w:rPr>
          <w:rFonts w:ascii="Arial" w:eastAsia="Times New Roman" w:hAnsi="Arial" w:cs="Arial"/>
          <w:b/>
          <w:sz w:val="24"/>
          <w:szCs w:val="24"/>
          <w:lang w:eastAsia="ar-SA"/>
        </w:rPr>
        <w:t>POKAZATELJ USPJEŠNOSTI:</w:t>
      </w:r>
      <w:r>
        <w:rPr>
          <w:rFonts w:ascii="Arial" w:eastAsia="Times New Roman" w:hAnsi="Arial" w:cs="Arial"/>
          <w:sz w:val="24"/>
          <w:szCs w:val="24"/>
          <w:lang w:eastAsia="ar-SA"/>
        </w:rPr>
        <w:t xml:space="preserve"> Zadovoljstvo mještana uslugom, stupanj čistoće javnih površina, funkcionalnost javne rasvjete, efikasnost zimske službe i dr. </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PROGRAM 0151 JAVNI OBJEKTI:</w:t>
      </w:r>
    </w:p>
    <w:p>
      <w:pPr>
        <w:autoSpaceDE w:val="0"/>
        <w:autoSpaceDN w:val="0"/>
        <w:adjustRightInd w:val="0"/>
        <w:spacing w:after="0" w:line="240" w:lineRule="auto"/>
        <w:jc w:val="both"/>
        <w:rPr>
          <w:rFonts w:ascii="Arial" w:hAnsi="Arial" w:cs="Arial"/>
          <w:b/>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A000114 Tržnica Pokupsko</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Planirana su sredstva za glavni i izvedbeni projekt u iznosu od 8.000,00 eura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A001512 DJEČJI VRTIĆ:</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Planirani su rashodi u iznosu od 15.000,00 eura za tekuće i investicijsko održavanje dječjeg vrtića i nabavu opreme.</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A001526 DOM KULTURE LUKINIĆ BRDO</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Planirana su sredstva u iznosu od 22.000,00 eura za legalizaciju objekta.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A001527 DOM KULTURE LIJEVI ŠTEFANKI</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Planirani su rashodi za rješavanje imovinsko – pravnih poslova i procjenu nekretnine u iznosu 4.500,00 eura.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A015111 ZGRADA OPĆINE:</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ove aktivnosti planirani su rashodi za nabavu nefinancijske imovine u iznosu od 10.000,00 eura, te 2.400,00 eura za dodatna ulaganja na zgradi (vrata za nužni izlaz).</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A101535 ODRŽAVANJE POSLOVNIH PROSTORA I DOMOVA KULTURE:</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 xml:space="preserve">U okviru ove aktivnosti planirani su troškovi održavanja – 35.000,00 eura, troškovi materijala i energije poslovnih prostora – 20.000,00 eura i trošak opremanja 40.000,00 eura. </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K001514 LOVAČKA KUĆA POKUPSKO</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ovog projekta planirani su rashodi u iznosu od 2.000,00 EUR za rješavanje imovinsko pravnih poslova.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K001515 REKONSTRUKCIJA DVD-a POKUPSKO:</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ovog projekta planirani su rashodi u ukupnom iznosu od 110.500,00 eura, a odnose se na troškove plaća zaposlenih na objektu Vatrogasnog doma, materijal i energiju, usluge održavanja, otplatu glavnice primljenog kredita i kamate.</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K001516 DOM HRVATSKIH BRANITELJA:</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Planirani rashodi iznose 50.000,00 eura, a odnose se na legalizaciju objekta, dodatna ulaganja na objektu i opremanje objekta.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K001520 TRADICIJSKA OKUĆNICA</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Planirani rashodi iznose 13.000,00 EUR, a odnose se na izgradnju pristupnog puta.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K001521 DOM KULTURE POKUPSKI GLADOVEC</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Planirani rashodi iznose 75.000,00 EUR, a odnose se na radove dodatnog ulaganja na objektu (stubište i zatvaranje tavana), rušenje objekta na čestici uz dom i projektnu dokumentaciju.</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K001528 DOM KULTURE ROŽENICA I:</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ovog projekta planirani su rashodi u iznosu od 36.000,00 EUR za projektiranje.</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K101534 EDUKACIJSKI CENTAR ZA RAZVOJ POLJOPRIVREDE:</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ovog projekta planira se 71.000,00 eura za izradu izvedbenog projekta, prijavu na natječaj i rušenje.</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K101536 DOM ZA STARIJE I NEMOĆNE POKUPSKO</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ovog projekta planirana su sredstava u iznosu od 40.000,00 eura za izradu projektne dokumentacije za izgradnju doma za starije i nemoćne.</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K101537 VILA BRDO</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ovog projekta planirani su rashodi u iznosu od 3.000,00 eura za rješavanje imovinsko pravnih poslova.</w:t>
      </w:r>
    </w:p>
    <w:p>
      <w:pPr>
        <w:autoSpaceDE w:val="0"/>
        <w:autoSpaceDN w:val="0"/>
        <w:adjustRightInd w:val="0"/>
        <w:spacing w:after="0" w:line="240" w:lineRule="auto"/>
        <w:jc w:val="both"/>
        <w:rPr>
          <w:rFonts w:ascii="Arial" w:hAnsi="Arial" w:cs="Arial"/>
          <w:bCs/>
          <w:sz w:val="24"/>
          <w:szCs w:val="24"/>
        </w:rPr>
      </w:pPr>
    </w:p>
    <w:p>
      <w:pPr>
        <w:suppressAutoHyphens/>
        <w:spacing w:after="0" w:line="240" w:lineRule="auto"/>
        <w:ind w:firstLine="708"/>
        <w:jc w:val="both"/>
        <w:rPr>
          <w:rFonts w:ascii="Arial" w:eastAsia="Times New Roman" w:hAnsi="Arial" w:cs="Arial"/>
          <w:sz w:val="24"/>
          <w:szCs w:val="24"/>
          <w:lang w:eastAsia="ar-SA"/>
        </w:rPr>
      </w:pPr>
      <w:r>
        <w:rPr>
          <w:rFonts w:ascii="Arial" w:eastAsia="Times New Roman" w:hAnsi="Arial" w:cs="Arial"/>
          <w:b/>
          <w:sz w:val="24"/>
          <w:szCs w:val="24"/>
          <w:lang w:eastAsia="ar-SA"/>
        </w:rPr>
        <w:t>OPĆI CILJ:</w:t>
      </w:r>
      <w:r>
        <w:rPr>
          <w:rFonts w:ascii="Arial" w:eastAsia="Times New Roman" w:hAnsi="Arial" w:cs="Arial"/>
          <w:sz w:val="24"/>
          <w:szCs w:val="24"/>
          <w:lang w:eastAsia="ar-SA"/>
        </w:rPr>
        <w:t xml:space="preserve"> Unapređenje kulturnog i društvenog života.</w:t>
      </w:r>
    </w:p>
    <w:p>
      <w:pPr>
        <w:suppressAutoHyphens/>
        <w:spacing w:after="0" w:line="240" w:lineRule="auto"/>
        <w:ind w:firstLine="708"/>
        <w:jc w:val="both"/>
        <w:rPr>
          <w:rFonts w:ascii="Arial" w:eastAsia="Times New Roman" w:hAnsi="Arial" w:cs="Arial"/>
          <w:sz w:val="24"/>
          <w:szCs w:val="24"/>
          <w:lang w:eastAsia="ar-SA"/>
        </w:rPr>
      </w:pPr>
      <w:r>
        <w:rPr>
          <w:rFonts w:ascii="Arial" w:eastAsia="Times New Roman" w:hAnsi="Arial" w:cs="Arial"/>
          <w:b/>
          <w:sz w:val="24"/>
          <w:szCs w:val="24"/>
          <w:lang w:eastAsia="ar-SA"/>
        </w:rPr>
        <w:t>POSEBNI CILJ:</w:t>
      </w:r>
      <w:r>
        <w:rPr>
          <w:rFonts w:ascii="Arial" w:eastAsia="Times New Roman" w:hAnsi="Arial" w:cs="Arial"/>
          <w:sz w:val="24"/>
          <w:szCs w:val="24"/>
          <w:lang w:eastAsia="ar-SA"/>
        </w:rPr>
        <w:t xml:space="preserve"> </w:t>
      </w:r>
      <w:r>
        <w:rPr>
          <w:rFonts w:ascii="Arial" w:eastAsia="Times New Roman" w:hAnsi="Arial" w:cs="Arial"/>
          <w:color w:val="000000" w:themeColor="text1"/>
          <w:sz w:val="24"/>
          <w:szCs w:val="24"/>
          <w:lang w:eastAsia="ar-SA"/>
        </w:rPr>
        <w:t>Podizanje kvalitete života i stanovanja.</w:t>
      </w:r>
    </w:p>
    <w:p>
      <w:pPr>
        <w:autoSpaceDE w:val="0"/>
        <w:autoSpaceDN w:val="0"/>
        <w:adjustRightInd w:val="0"/>
        <w:spacing w:after="0" w:line="240" w:lineRule="auto"/>
        <w:ind w:firstLine="708"/>
        <w:jc w:val="both"/>
        <w:rPr>
          <w:rFonts w:ascii="Arial" w:hAnsi="Arial" w:cs="Arial"/>
          <w:bCs/>
          <w:sz w:val="24"/>
          <w:szCs w:val="24"/>
        </w:rPr>
      </w:pPr>
      <w:r>
        <w:rPr>
          <w:rFonts w:ascii="Arial" w:eastAsia="Times New Roman" w:hAnsi="Arial" w:cs="Arial"/>
          <w:b/>
          <w:sz w:val="24"/>
          <w:szCs w:val="24"/>
          <w:lang w:eastAsia="ar-SA"/>
        </w:rPr>
        <w:t>POKAZATELJ USPJEŠNOSTI:</w:t>
      </w:r>
      <w:r>
        <w:rPr>
          <w:rFonts w:ascii="Arial" w:eastAsia="Times New Roman" w:hAnsi="Arial" w:cs="Arial"/>
          <w:sz w:val="24"/>
          <w:szCs w:val="24"/>
          <w:lang w:eastAsia="ar-SA"/>
        </w:rPr>
        <w:t xml:space="preserve"> Zadovoljstvo provedenim aktivnostima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PROGRAM 0161 PROGRAM POTICANJA PODUZETNIŠTVA</w:t>
      </w:r>
    </w:p>
    <w:p>
      <w:pPr>
        <w:autoSpaceDE w:val="0"/>
        <w:autoSpaceDN w:val="0"/>
        <w:adjustRightInd w:val="0"/>
        <w:spacing w:after="0" w:line="240" w:lineRule="auto"/>
        <w:jc w:val="both"/>
        <w:rPr>
          <w:rFonts w:ascii="Arial" w:hAnsi="Arial" w:cs="Arial"/>
          <w:bCs/>
          <w:color w:val="FF0000"/>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A00162 POTICAJI RAZVOJU POLJOPRIVREDE:</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ove aktivnosti planiraju se subvencije umjetnog osjemenjivanja u iznosu 6.700,00 EUR, te trošak stručnog osoblja za provođenje programa zaštite od divljači 1.400,00 eura.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A001613 UDRUGE U GOSPODARSTVU:</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Planirani rashodi za programe i projekte gospodarskih udruga koje djeluju na području Općine Pokupsko iznose 2.000,00 EUR.</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A001618 PRAĆENJE STANJA U PROSTORU, PROSTORNO I STRATEŠKO PLANIRANJE:</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ove aktivnosti planirani su rashodi za trošak izrade plana rasvjete u iznosu od 7.200,00 eura.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A001619 SABIRNO LOGISTIČKI CENTAR:</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ovog projekta planirano je 2.000,00 eura za usluge redovitog servisa vage i kolne vage.</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A101612 OPREMANJE KOMUNALNOG PODUZEĆA:</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ove aktivnosti planirani su rashodi za dodjelu kapitalne pomoći Komunalnom gospodarstvu Pokupsko za kupnju kombi vozila.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A101622 MANIFESTACIJE:</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ovog projekta planirani su rashodi za održavanje manifestacija u Općini Pokupsko.</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A101614 GEODETSKA IZMJERA</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ove aktivnosti planiraju se rashodi za nastavak postupka provedbe geodetske izmjere. U rashode su uračunate naknade za rad zemljišnoknjižnog i sudskog povjerenstva, te ostali materijalni rashodi povezani s provođenjem postupka izmjere.</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K001621 PROJEKTI RAZVOJA TURIZMA:</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ove aktivnosti planirani su rashodi za izradu glavnog projekta i demontažu i dopremanje drvene kuće na Eko-etno paraka Jezera, te radove na vodenom dijelu.</w:t>
      </w:r>
      <w:bookmarkStart w:id="0" w:name="_GoBack"/>
      <w:bookmarkEnd w:id="0"/>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PROGRAM 1164 VODOOPSKRBNI OBJEKTI – CJEVOVODI:</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 xml:space="preserve">U okviru ovog programa planirani su rashodi za projektiranje i izgradnju vodovoda u iznosu od 234.600,00 eura. U planu je izgradnja vodoopskrbnog sustava na području </w:t>
      </w:r>
      <w:proofErr w:type="spellStart"/>
      <w:r>
        <w:rPr>
          <w:rFonts w:ascii="Arial" w:hAnsi="Arial" w:cs="Arial"/>
          <w:bCs/>
          <w:sz w:val="24"/>
          <w:szCs w:val="24"/>
        </w:rPr>
        <w:t>Zgurić</w:t>
      </w:r>
      <w:proofErr w:type="spellEnd"/>
      <w:r>
        <w:rPr>
          <w:rFonts w:ascii="Arial" w:hAnsi="Arial" w:cs="Arial"/>
          <w:bCs/>
          <w:sz w:val="24"/>
          <w:szCs w:val="24"/>
        </w:rPr>
        <w:t xml:space="preserve"> Brda – </w:t>
      </w:r>
      <w:proofErr w:type="spellStart"/>
      <w:r>
        <w:rPr>
          <w:rFonts w:ascii="Arial" w:hAnsi="Arial" w:cs="Arial"/>
          <w:bCs/>
          <w:sz w:val="24"/>
          <w:szCs w:val="24"/>
        </w:rPr>
        <w:t>Drvodelići</w:t>
      </w:r>
      <w:proofErr w:type="spellEnd"/>
      <w:r>
        <w:rPr>
          <w:rFonts w:ascii="Arial" w:hAnsi="Arial" w:cs="Arial"/>
          <w:bCs/>
          <w:sz w:val="24"/>
          <w:szCs w:val="24"/>
        </w:rPr>
        <w:t xml:space="preserve">, Lijevi </w:t>
      </w:r>
      <w:proofErr w:type="spellStart"/>
      <w:r>
        <w:rPr>
          <w:rFonts w:ascii="Arial" w:hAnsi="Arial" w:cs="Arial"/>
          <w:bCs/>
          <w:sz w:val="24"/>
          <w:szCs w:val="24"/>
        </w:rPr>
        <w:t>Degoj</w:t>
      </w:r>
      <w:proofErr w:type="spellEnd"/>
      <w:r>
        <w:rPr>
          <w:rFonts w:ascii="Arial" w:hAnsi="Arial" w:cs="Arial"/>
          <w:bCs/>
          <w:sz w:val="24"/>
          <w:szCs w:val="24"/>
        </w:rPr>
        <w:t xml:space="preserve"> – </w:t>
      </w:r>
      <w:proofErr w:type="spellStart"/>
      <w:r>
        <w:rPr>
          <w:rFonts w:ascii="Arial" w:hAnsi="Arial" w:cs="Arial"/>
          <w:bCs/>
          <w:sz w:val="24"/>
          <w:szCs w:val="24"/>
        </w:rPr>
        <w:t>Brnardići</w:t>
      </w:r>
      <w:proofErr w:type="spellEnd"/>
      <w:r>
        <w:rPr>
          <w:rFonts w:ascii="Arial" w:hAnsi="Arial" w:cs="Arial"/>
          <w:bCs/>
          <w:sz w:val="24"/>
          <w:szCs w:val="24"/>
        </w:rPr>
        <w:t xml:space="preserve">, Pokupsko – </w:t>
      </w:r>
      <w:proofErr w:type="spellStart"/>
      <w:r>
        <w:rPr>
          <w:rFonts w:ascii="Arial" w:hAnsi="Arial" w:cs="Arial"/>
          <w:bCs/>
          <w:sz w:val="24"/>
          <w:szCs w:val="24"/>
        </w:rPr>
        <w:t>Potoček</w:t>
      </w:r>
      <w:proofErr w:type="spellEnd"/>
      <w:r>
        <w:rPr>
          <w:rFonts w:ascii="Arial" w:hAnsi="Arial" w:cs="Arial"/>
          <w:bCs/>
          <w:sz w:val="24"/>
          <w:szCs w:val="24"/>
        </w:rPr>
        <w:t xml:space="preserve">, te projektiranje </w:t>
      </w:r>
      <w:proofErr w:type="spellStart"/>
      <w:r>
        <w:rPr>
          <w:rFonts w:ascii="Arial" w:hAnsi="Arial" w:cs="Arial"/>
          <w:bCs/>
          <w:sz w:val="24"/>
          <w:szCs w:val="24"/>
        </w:rPr>
        <w:t>Honja</w:t>
      </w:r>
      <w:proofErr w:type="spellEnd"/>
      <w:r>
        <w:rPr>
          <w:rFonts w:ascii="Arial" w:hAnsi="Arial" w:cs="Arial"/>
          <w:bCs/>
          <w:sz w:val="24"/>
          <w:szCs w:val="24"/>
        </w:rPr>
        <w:t xml:space="preserve"> – Marekovići, Lijevi </w:t>
      </w:r>
      <w:proofErr w:type="spellStart"/>
      <w:r>
        <w:rPr>
          <w:rFonts w:ascii="Arial" w:hAnsi="Arial" w:cs="Arial"/>
          <w:bCs/>
          <w:sz w:val="24"/>
          <w:szCs w:val="24"/>
        </w:rPr>
        <w:t>Štefanki</w:t>
      </w:r>
      <w:proofErr w:type="spellEnd"/>
      <w:r>
        <w:rPr>
          <w:rFonts w:ascii="Arial" w:hAnsi="Arial" w:cs="Arial"/>
          <w:bCs/>
          <w:sz w:val="24"/>
          <w:szCs w:val="24"/>
        </w:rPr>
        <w:t xml:space="preserve"> – </w:t>
      </w:r>
      <w:proofErr w:type="spellStart"/>
      <w:r>
        <w:rPr>
          <w:rFonts w:ascii="Arial" w:hAnsi="Arial" w:cs="Arial"/>
          <w:bCs/>
          <w:sz w:val="24"/>
          <w:szCs w:val="24"/>
        </w:rPr>
        <w:t>Orečići</w:t>
      </w:r>
      <w:proofErr w:type="spellEnd"/>
      <w:r>
        <w:rPr>
          <w:rFonts w:ascii="Arial" w:hAnsi="Arial" w:cs="Arial"/>
          <w:bCs/>
          <w:sz w:val="24"/>
          <w:szCs w:val="24"/>
        </w:rPr>
        <w:t xml:space="preserve">, Pokupsko – ŠRC Stari grad, Lijevi </w:t>
      </w:r>
      <w:proofErr w:type="spellStart"/>
      <w:r>
        <w:rPr>
          <w:rFonts w:ascii="Arial" w:hAnsi="Arial" w:cs="Arial"/>
          <w:bCs/>
          <w:sz w:val="24"/>
          <w:szCs w:val="24"/>
        </w:rPr>
        <w:t>Degoj</w:t>
      </w:r>
      <w:proofErr w:type="spellEnd"/>
      <w:r>
        <w:rPr>
          <w:rFonts w:ascii="Arial" w:hAnsi="Arial" w:cs="Arial"/>
          <w:bCs/>
          <w:sz w:val="24"/>
          <w:szCs w:val="24"/>
        </w:rPr>
        <w:t xml:space="preserve"> – Jagići, Grahovci, </w:t>
      </w:r>
      <w:proofErr w:type="spellStart"/>
      <w:r>
        <w:rPr>
          <w:rFonts w:ascii="Arial" w:hAnsi="Arial" w:cs="Arial"/>
          <w:bCs/>
          <w:sz w:val="24"/>
          <w:szCs w:val="24"/>
        </w:rPr>
        <w:t>Auguštanovec</w:t>
      </w:r>
      <w:proofErr w:type="spellEnd"/>
      <w:r>
        <w:rPr>
          <w:rFonts w:ascii="Arial" w:hAnsi="Arial" w:cs="Arial"/>
          <w:bCs/>
          <w:sz w:val="24"/>
          <w:szCs w:val="24"/>
        </w:rPr>
        <w:t xml:space="preserve"> – Spust.</w:t>
      </w:r>
    </w:p>
    <w:p>
      <w:pPr>
        <w:autoSpaceDE w:val="0"/>
        <w:autoSpaceDN w:val="0"/>
        <w:adjustRightInd w:val="0"/>
        <w:spacing w:after="0" w:line="240" w:lineRule="auto"/>
        <w:jc w:val="both"/>
        <w:rPr>
          <w:rFonts w:ascii="Arial" w:hAnsi="Arial" w:cs="Arial"/>
          <w:bCs/>
          <w:sz w:val="24"/>
          <w:szCs w:val="24"/>
        </w:rPr>
      </w:pPr>
    </w:p>
    <w:p>
      <w:pPr>
        <w:spacing w:after="0"/>
        <w:ind w:firstLine="709"/>
        <w:jc w:val="both"/>
        <w:rPr>
          <w:rFonts w:ascii="Arial" w:hAnsi="Arial" w:cs="Arial"/>
          <w:sz w:val="24"/>
        </w:rPr>
      </w:pPr>
      <w:r>
        <w:rPr>
          <w:rFonts w:ascii="Arial" w:hAnsi="Arial" w:cs="Arial"/>
          <w:b/>
          <w:sz w:val="24"/>
        </w:rPr>
        <w:t>OPĆI CILJ:</w:t>
      </w:r>
      <w:r>
        <w:rPr>
          <w:rFonts w:ascii="Arial" w:hAnsi="Arial" w:cs="Arial"/>
          <w:sz w:val="24"/>
        </w:rPr>
        <w:t xml:space="preserve"> Osiguranje uvjeta za zadovoljenje osnovnih životnih potreba.</w:t>
      </w:r>
    </w:p>
    <w:p>
      <w:pPr>
        <w:spacing w:after="0"/>
        <w:ind w:firstLine="709"/>
        <w:jc w:val="both"/>
        <w:rPr>
          <w:rFonts w:ascii="Arial" w:hAnsi="Arial" w:cs="Arial"/>
          <w:sz w:val="24"/>
        </w:rPr>
      </w:pPr>
      <w:r>
        <w:rPr>
          <w:rFonts w:ascii="Arial" w:hAnsi="Arial" w:cs="Arial"/>
          <w:b/>
          <w:sz w:val="24"/>
        </w:rPr>
        <w:t>POSEBNI CILJ:</w:t>
      </w:r>
      <w:r>
        <w:rPr>
          <w:rFonts w:ascii="Arial" w:hAnsi="Arial" w:cs="Arial"/>
          <w:sz w:val="24"/>
        </w:rPr>
        <w:t xml:space="preserve"> Razvitak sela i poljoprivrede.</w:t>
      </w:r>
    </w:p>
    <w:p>
      <w:pPr>
        <w:spacing w:after="0"/>
        <w:ind w:firstLine="709"/>
        <w:jc w:val="both"/>
        <w:rPr>
          <w:rFonts w:ascii="Arial" w:hAnsi="Arial" w:cs="Arial"/>
          <w:sz w:val="24"/>
        </w:rPr>
      </w:pPr>
      <w:r>
        <w:rPr>
          <w:rFonts w:ascii="Arial" w:hAnsi="Arial" w:cs="Arial"/>
          <w:b/>
          <w:sz w:val="24"/>
        </w:rPr>
        <w:t xml:space="preserve">POKAZATELJ USPJEŠNOSTI: </w:t>
      </w:r>
      <w:r>
        <w:rPr>
          <w:rFonts w:ascii="Arial" w:hAnsi="Arial" w:cs="Arial"/>
          <w:sz w:val="24"/>
        </w:rPr>
        <w:t>Zadovoljstvo stanovnika provedenim projektom.</w:t>
      </w:r>
    </w:p>
    <w:p>
      <w:pPr>
        <w:autoSpaceDE w:val="0"/>
        <w:autoSpaceDN w:val="0"/>
        <w:adjustRightInd w:val="0"/>
        <w:spacing w:after="0" w:line="240" w:lineRule="auto"/>
        <w:jc w:val="both"/>
        <w:rPr>
          <w:rFonts w:ascii="Arial" w:hAnsi="Arial" w:cs="Arial"/>
          <w:iCs/>
          <w:sz w:val="24"/>
        </w:rPr>
      </w:pPr>
    </w:p>
    <w:p>
      <w:pPr>
        <w:autoSpaceDE w:val="0"/>
        <w:autoSpaceDN w:val="0"/>
        <w:adjustRightInd w:val="0"/>
        <w:spacing w:after="0" w:line="240" w:lineRule="auto"/>
        <w:jc w:val="both"/>
        <w:rPr>
          <w:rFonts w:ascii="Arial" w:hAnsi="Arial" w:cs="Arial"/>
          <w:b/>
          <w:iCs/>
          <w:sz w:val="24"/>
        </w:rPr>
      </w:pPr>
      <w:r>
        <w:rPr>
          <w:rFonts w:ascii="Arial" w:hAnsi="Arial" w:cs="Arial"/>
          <w:b/>
          <w:iCs/>
          <w:sz w:val="24"/>
        </w:rPr>
        <w:t>IZGRADNJA KOMUNALNE INFRASTRUKTURE:</w:t>
      </w:r>
    </w:p>
    <w:p>
      <w:pPr>
        <w:autoSpaceDE w:val="0"/>
        <w:autoSpaceDN w:val="0"/>
        <w:adjustRightInd w:val="0"/>
        <w:spacing w:after="0" w:line="240" w:lineRule="auto"/>
        <w:jc w:val="both"/>
        <w:rPr>
          <w:rFonts w:ascii="Arial" w:hAnsi="Arial" w:cs="Arial"/>
          <w:b/>
          <w:iCs/>
          <w:sz w:val="24"/>
        </w:rPr>
      </w:pPr>
    </w:p>
    <w:p>
      <w:pPr>
        <w:autoSpaceDE w:val="0"/>
        <w:autoSpaceDN w:val="0"/>
        <w:adjustRightInd w:val="0"/>
        <w:spacing w:after="0" w:line="240" w:lineRule="auto"/>
        <w:jc w:val="both"/>
        <w:rPr>
          <w:rFonts w:ascii="Arial" w:hAnsi="Arial" w:cs="Arial"/>
          <w:iCs/>
          <w:sz w:val="24"/>
        </w:rPr>
      </w:pPr>
      <w:r>
        <w:rPr>
          <w:rFonts w:ascii="Arial" w:hAnsi="Arial" w:cs="Arial"/>
          <w:iCs/>
          <w:sz w:val="24"/>
        </w:rPr>
        <w:t>PROGRAM 1701 NERAZVRSTANE CESTE:</w:t>
      </w:r>
    </w:p>
    <w:p>
      <w:pPr>
        <w:autoSpaceDE w:val="0"/>
        <w:autoSpaceDN w:val="0"/>
        <w:adjustRightInd w:val="0"/>
        <w:spacing w:after="0" w:line="240" w:lineRule="auto"/>
        <w:jc w:val="both"/>
        <w:rPr>
          <w:rFonts w:ascii="Arial" w:hAnsi="Arial" w:cs="Arial"/>
          <w:iCs/>
          <w:sz w:val="24"/>
        </w:rPr>
      </w:pPr>
      <w:r>
        <w:rPr>
          <w:rFonts w:ascii="Arial" w:hAnsi="Arial" w:cs="Arial"/>
          <w:iCs/>
          <w:sz w:val="24"/>
        </w:rPr>
        <w:t>U okviru ovog programa planirani su rashod za izradu projektne dokumentacije nerazvrstane ceste Lukinić Brdo - Opatija u iznosu od 27.000,00 eura.</w:t>
      </w:r>
    </w:p>
    <w:p>
      <w:pPr>
        <w:autoSpaceDE w:val="0"/>
        <w:autoSpaceDN w:val="0"/>
        <w:adjustRightInd w:val="0"/>
        <w:spacing w:after="0" w:line="240" w:lineRule="auto"/>
        <w:jc w:val="both"/>
        <w:rPr>
          <w:rFonts w:ascii="Arial" w:hAnsi="Arial" w:cs="Arial"/>
          <w:iCs/>
          <w:sz w:val="24"/>
        </w:rPr>
      </w:pPr>
    </w:p>
    <w:p>
      <w:pPr>
        <w:autoSpaceDE w:val="0"/>
        <w:autoSpaceDN w:val="0"/>
        <w:adjustRightInd w:val="0"/>
        <w:spacing w:after="0" w:line="240" w:lineRule="auto"/>
        <w:jc w:val="both"/>
        <w:rPr>
          <w:rFonts w:ascii="Arial" w:hAnsi="Arial" w:cs="Arial"/>
          <w:iCs/>
          <w:sz w:val="24"/>
        </w:rPr>
      </w:pPr>
      <w:r>
        <w:rPr>
          <w:rFonts w:ascii="Arial" w:hAnsi="Arial" w:cs="Arial"/>
          <w:iCs/>
          <w:sz w:val="24"/>
        </w:rPr>
        <w:t>PROGRAM 1704 JAVNE ZELENE POVRŠINE:</w:t>
      </w:r>
    </w:p>
    <w:p>
      <w:pPr>
        <w:autoSpaceDE w:val="0"/>
        <w:autoSpaceDN w:val="0"/>
        <w:adjustRightInd w:val="0"/>
        <w:spacing w:after="0" w:line="240" w:lineRule="auto"/>
        <w:jc w:val="both"/>
        <w:rPr>
          <w:rFonts w:ascii="Arial" w:hAnsi="Arial" w:cs="Arial"/>
          <w:iCs/>
          <w:sz w:val="24"/>
        </w:rPr>
      </w:pPr>
    </w:p>
    <w:p>
      <w:pPr>
        <w:autoSpaceDE w:val="0"/>
        <w:autoSpaceDN w:val="0"/>
        <w:adjustRightInd w:val="0"/>
        <w:spacing w:after="0" w:line="240" w:lineRule="auto"/>
        <w:jc w:val="both"/>
        <w:rPr>
          <w:rFonts w:ascii="Arial" w:hAnsi="Arial" w:cs="Arial"/>
          <w:iCs/>
          <w:sz w:val="24"/>
        </w:rPr>
      </w:pPr>
      <w:r>
        <w:rPr>
          <w:rFonts w:ascii="Arial" w:hAnsi="Arial" w:cs="Arial"/>
          <w:iCs/>
          <w:sz w:val="24"/>
        </w:rPr>
        <w:t>K440002 DJEČJA IGRALIŠTA S OPREMOM</w:t>
      </w:r>
    </w:p>
    <w:p>
      <w:pPr>
        <w:autoSpaceDE w:val="0"/>
        <w:autoSpaceDN w:val="0"/>
        <w:adjustRightInd w:val="0"/>
        <w:spacing w:after="0" w:line="240" w:lineRule="auto"/>
        <w:jc w:val="both"/>
        <w:rPr>
          <w:rFonts w:ascii="Arial" w:hAnsi="Arial" w:cs="Arial"/>
          <w:iCs/>
          <w:sz w:val="24"/>
        </w:rPr>
      </w:pPr>
      <w:r>
        <w:rPr>
          <w:rFonts w:ascii="Arial" w:hAnsi="Arial" w:cs="Arial"/>
          <w:iCs/>
          <w:sz w:val="24"/>
        </w:rPr>
        <w:t>U okviru ovog projekta planirani su rashodi za nabavu opreme za dječja igrališta u iznosu od 33.000,00 eura.</w:t>
      </w:r>
    </w:p>
    <w:p>
      <w:pPr>
        <w:autoSpaceDE w:val="0"/>
        <w:autoSpaceDN w:val="0"/>
        <w:adjustRightInd w:val="0"/>
        <w:spacing w:after="0" w:line="240" w:lineRule="auto"/>
        <w:jc w:val="both"/>
        <w:rPr>
          <w:rFonts w:ascii="Arial" w:hAnsi="Arial" w:cs="Arial"/>
          <w:iCs/>
          <w:sz w:val="24"/>
        </w:rPr>
      </w:pPr>
    </w:p>
    <w:p>
      <w:pPr>
        <w:autoSpaceDE w:val="0"/>
        <w:autoSpaceDN w:val="0"/>
        <w:adjustRightInd w:val="0"/>
        <w:spacing w:after="0" w:line="240" w:lineRule="auto"/>
        <w:jc w:val="both"/>
        <w:rPr>
          <w:rFonts w:ascii="Arial" w:hAnsi="Arial" w:cs="Arial"/>
          <w:iCs/>
          <w:sz w:val="24"/>
        </w:rPr>
      </w:pPr>
    </w:p>
    <w:p>
      <w:pPr>
        <w:autoSpaceDE w:val="0"/>
        <w:autoSpaceDN w:val="0"/>
        <w:adjustRightInd w:val="0"/>
        <w:spacing w:after="0" w:line="240" w:lineRule="auto"/>
        <w:jc w:val="both"/>
        <w:rPr>
          <w:rFonts w:ascii="Arial" w:hAnsi="Arial" w:cs="Arial"/>
          <w:iCs/>
          <w:sz w:val="24"/>
        </w:rPr>
      </w:pPr>
      <w:r>
        <w:rPr>
          <w:rFonts w:ascii="Arial" w:hAnsi="Arial" w:cs="Arial"/>
          <w:iCs/>
          <w:sz w:val="24"/>
        </w:rPr>
        <w:t>PROGRAM 1705 GRAĐEVINE I UREĐAJI JAVNE NAMJENE</w:t>
      </w:r>
    </w:p>
    <w:p>
      <w:pPr>
        <w:autoSpaceDE w:val="0"/>
        <w:autoSpaceDN w:val="0"/>
        <w:adjustRightInd w:val="0"/>
        <w:spacing w:after="0" w:line="240" w:lineRule="auto"/>
        <w:jc w:val="both"/>
        <w:rPr>
          <w:rFonts w:ascii="Arial" w:hAnsi="Arial" w:cs="Arial"/>
          <w:iCs/>
          <w:sz w:val="24"/>
        </w:rPr>
      </w:pPr>
    </w:p>
    <w:p>
      <w:pPr>
        <w:autoSpaceDE w:val="0"/>
        <w:autoSpaceDN w:val="0"/>
        <w:adjustRightInd w:val="0"/>
        <w:spacing w:after="0" w:line="240" w:lineRule="auto"/>
        <w:jc w:val="both"/>
        <w:rPr>
          <w:rFonts w:ascii="Arial" w:hAnsi="Arial" w:cs="Arial"/>
          <w:iCs/>
          <w:sz w:val="24"/>
        </w:rPr>
      </w:pPr>
      <w:r>
        <w:rPr>
          <w:rFonts w:ascii="Arial" w:hAnsi="Arial" w:cs="Arial"/>
          <w:iCs/>
          <w:sz w:val="24"/>
        </w:rPr>
        <w:t>K550001 NADSTREŠNICE NA STAJALIŠTIMA AUTOBUSA:</w:t>
      </w:r>
    </w:p>
    <w:p>
      <w:pPr>
        <w:autoSpaceDE w:val="0"/>
        <w:autoSpaceDN w:val="0"/>
        <w:adjustRightInd w:val="0"/>
        <w:spacing w:after="0" w:line="240" w:lineRule="auto"/>
        <w:jc w:val="both"/>
        <w:rPr>
          <w:rFonts w:ascii="Arial" w:hAnsi="Arial" w:cs="Arial"/>
          <w:iCs/>
          <w:sz w:val="24"/>
        </w:rPr>
      </w:pPr>
      <w:r>
        <w:rPr>
          <w:rFonts w:ascii="Arial" w:hAnsi="Arial" w:cs="Arial"/>
          <w:iCs/>
          <w:sz w:val="24"/>
        </w:rPr>
        <w:t xml:space="preserve">U okviru ovog projekta planira se nabava nadstrešnice za autobusno stajalište u Pokupskom Cerju - </w:t>
      </w:r>
      <w:proofErr w:type="spellStart"/>
      <w:r>
        <w:rPr>
          <w:rFonts w:ascii="Arial" w:hAnsi="Arial" w:cs="Arial"/>
          <w:iCs/>
          <w:sz w:val="24"/>
        </w:rPr>
        <w:t>Išeki</w:t>
      </w:r>
      <w:proofErr w:type="spellEnd"/>
      <w:r>
        <w:rPr>
          <w:rFonts w:ascii="Arial" w:hAnsi="Arial" w:cs="Arial"/>
          <w:iCs/>
          <w:sz w:val="24"/>
        </w:rPr>
        <w:t>.</w:t>
      </w:r>
    </w:p>
    <w:p>
      <w:pPr>
        <w:autoSpaceDE w:val="0"/>
        <w:autoSpaceDN w:val="0"/>
        <w:adjustRightInd w:val="0"/>
        <w:spacing w:after="0" w:line="240" w:lineRule="auto"/>
        <w:jc w:val="both"/>
        <w:rPr>
          <w:rFonts w:ascii="Arial" w:hAnsi="Arial" w:cs="Arial"/>
          <w:iCs/>
          <w:sz w:val="24"/>
        </w:rPr>
      </w:pPr>
    </w:p>
    <w:p>
      <w:pPr>
        <w:autoSpaceDE w:val="0"/>
        <w:autoSpaceDN w:val="0"/>
        <w:adjustRightInd w:val="0"/>
        <w:spacing w:after="0" w:line="240" w:lineRule="auto"/>
        <w:jc w:val="both"/>
        <w:rPr>
          <w:rFonts w:ascii="Arial" w:hAnsi="Arial" w:cs="Arial"/>
          <w:iCs/>
          <w:sz w:val="24"/>
        </w:rPr>
      </w:pPr>
      <w:r>
        <w:rPr>
          <w:rFonts w:ascii="Arial" w:hAnsi="Arial" w:cs="Arial"/>
          <w:iCs/>
          <w:sz w:val="24"/>
        </w:rPr>
        <w:t>PROGRAM 1706 JAVNA RASVJETA</w:t>
      </w:r>
    </w:p>
    <w:p>
      <w:pPr>
        <w:autoSpaceDE w:val="0"/>
        <w:autoSpaceDN w:val="0"/>
        <w:adjustRightInd w:val="0"/>
        <w:spacing w:after="0" w:line="240" w:lineRule="auto"/>
        <w:jc w:val="both"/>
        <w:rPr>
          <w:rFonts w:ascii="Arial" w:hAnsi="Arial" w:cs="Arial"/>
          <w:iCs/>
          <w:sz w:val="24"/>
        </w:rPr>
      </w:pPr>
    </w:p>
    <w:p>
      <w:pPr>
        <w:autoSpaceDE w:val="0"/>
        <w:autoSpaceDN w:val="0"/>
        <w:adjustRightInd w:val="0"/>
        <w:spacing w:after="0" w:line="240" w:lineRule="auto"/>
        <w:jc w:val="both"/>
        <w:rPr>
          <w:rFonts w:ascii="Arial" w:hAnsi="Arial" w:cs="Arial"/>
          <w:iCs/>
          <w:sz w:val="24"/>
        </w:rPr>
      </w:pPr>
      <w:r>
        <w:rPr>
          <w:rFonts w:ascii="Arial" w:hAnsi="Arial" w:cs="Arial"/>
          <w:iCs/>
          <w:sz w:val="24"/>
        </w:rPr>
        <w:t>K660001 JAVNA RASVJETA:</w:t>
      </w:r>
    </w:p>
    <w:p>
      <w:pPr>
        <w:autoSpaceDE w:val="0"/>
        <w:autoSpaceDN w:val="0"/>
        <w:adjustRightInd w:val="0"/>
        <w:spacing w:after="0" w:line="240" w:lineRule="auto"/>
        <w:jc w:val="both"/>
        <w:rPr>
          <w:rFonts w:ascii="Arial" w:hAnsi="Arial" w:cs="Arial"/>
          <w:iCs/>
          <w:sz w:val="24"/>
        </w:rPr>
      </w:pPr>
      <w:r>
        <w:rPr>
          <w:rFonts w:ascii="Arial" w:hAnsi="Arial" w:cs="Arial"/>
          <w:iCs/>
          <w:sz w:val="24"/>
        </w:rPr>
        <w:t xml:space="preserve">U okviru ovog projekta planira se trošak najma LED rasvjetnih tijela koja su zamijenila energetski neučinkovita rasvjetna tijela, kupnja razvodnih ormara za </w:t>
      </w:r>
      <w:proofErr w:type="spellStart"/>
      <w:r>
        <w:rPr>
          <w:rFonts w:ascii="Arial" w:hAnsi="Arial" w:cs="Arial"/>
          <w:iCs/>
          <w:sz w:val="24"/>
        </w:rPr>
        <w:t>izmještanje</w:t>
      </w:r>
      <w:proofErr w:type="spellEnd"/>
      <w:r>
        <w:rPr>
          <w:rFonts w:ascii="Arial" w:hAnsi="Arial" w:cs="Arial"/>
          <w:iCs/>
          <w:sz w:val="24"/>
        </w:rPr>
        <w:t xml:space="preserve"> instalacija javne rasvjete iz postrojenja HEP-a, kupnja rasvjetnih tijela, stupova i kabla.</w:t>
      </w:r>
    </w:p>
    <w:p>
      <w:pPr>
        <w:autoSpaceDE w:val="0"/>
        <w:autoSpaceDN w:val="0"/>
        <w:adjustRightInd w:val="0"/>
        <w:spacing w:after="0" w:line="240" w:lineRule="auto"/>
        <w:jc w:val="both"/>
        <w:rPr>
          <w:rFonts w:ascii="Arial" w:hAnsi="Arial" w:cs="Arial"/>
          <w:iCs/>
          <w:sz w:val="24"/>
        </w:rPr>
      </w:pPr>
    </w:p>
    <w:p>
      <w:pPr>
        <w:autoSpaceDE w:val="0"/>
        <w:autoSpaceDN w:val="0"/>
        <w:adjustRightInd w:val="0"/>
        <w:spacing w:after="0" w:line="240" w:lineRule="auto"/>
        <w:jc w:val="both"/>
        <w:rPr>
          <w:rFonts w:ascii="Arial" w:hAnsi="Arial" w:cs="Arial"/>
          <w:iCs/>
          <w:sz w:val="24"/>
        </w:rPr>
      </w:pPr>
      <w:r>
        <w:rPr>
          <w:rFonts w:ascii="Arial" w:hAnsi="Arial" w:cs="Arial"/>
          <w:iCs/>
          <w:sz w:val="24"/>
        </w:rPr>
        <w:t>PROGRAM 1707 GROBLJA (POGREBNI CENTRI)</w:t>
      </w:r>
    </w:p>
    <w:p>
      <w:pPr>
        <w:autoSpaceDE w:val="0"/>
        <w:autoSpaceDN w:val="0"/>
        <w:adjustRightInd w:val="0"/>
        <w:spacing w:after="0" w:line="240" w:lineRule="auto"/>
        <w:jc w:val="both"/>
        <w:rPr>
          <w:rFonts w:ascii="Arial" w:hAnsi="Arial" w:cs="Arial"/>
          <w:iCs/>
          <w:sz w:val="24"/>
        </w:rPr>
      </w:pPr>
    </w:p>
    <w:p>
      <w:pPr>
        <w:autoSpaceDE w:val="0"/>
        <w:autoSpaceDN w:val="0"/>
        <w:adjustRightInd w:val="0"/>
        <w:spacing w:after="0" w:line="240" w:lineRule="auto"/>
        <w:jc w:val="both"/>
        <w:rPr>
          <w:rFonts w:ascii="Arial" w:hAnsi="Arial" w:cs="Arial"/>
          <w:iCs/>
          <w:sz w:val="24"/>
        </w:rPr>
      </w:pPr>
      <w:r>
        <w:rPr>
          <w:rFonts w:ascii="Arial" w:hAnsi="Arial" w:cs="Arial"/>
          <w:iCs/>
          <w:sz w:val="24"/>
        </w:rPr>
        <w:t>K770001 GROBLJE POKUPSKO:</w:t>
      </w:r>
    </w:p>
    <w:p>
      <w:pPr>
        <w:autoSpaceDE w:val="0"/>
        <w:autoSpaceDN w:val="0"/>
        <w:adjustRightInd w:val="0"/>
        <w:spacing w:after="0" w:line="240" w:lineRule="auto"/>
        <w:jc w:val="both"/>
        <w:rPr>
          <w:rFonts w:ascii="Arial" w:hAnsi="Arial" w:cs="Arial"/>
          <w:iCs/>
          <w:sz w:val="24"/>
        </w:rPr>
      </w:pPr>
      <w:r>
        <w:rPr>
          <w:rFonts w:ascii="Arial" w:hAnsi="Arial" w:cs="Arial"/>
          <w:iCs/>
          <w:sz w:val="24"/>
        </w:rPr>
        <w:t>U okviru ovog projekta planirani su rashodi za 3.fazu radova (izgradnja staza) na groblju u Pokupskom.</w:t>
      </w:r>
    </w:p>
    <w:p>
      <w:pPr>
        <w:autoSpaceDE w:val="0"/>
        <w:autoSpaceDN w:val="0"/>
        <w:adjustRightInd w:val="0"/>
        <w:spacing w:after="0" w:line="240" w:lineRule="auto"/>
        <w:jc w:val="both"/>
        <w:rPr>
          <w:rFonts w:ascii="Arial" w:hAnsi="Arial" w:cs="Arial"/>
          <w:iCs/>
          <w:sz w:val="24"/>
        </w:rPr>
      </w:pPr>
    </w:p>
    <w:p>
      <w:pPr>
        <w:autoSpaceDE w:val="0"/>
        <w:autoSpaceDN w:val="0"/>
        <w:adjustRightInd w:val="0"/>
        <w:spacing w:after="0" w:line="240" w:lineRule="auto"/>
        <w:jc w:val="both"/>
        <w:rPr>
          <w:rFonts w:ascii="Arial" w:hAnsi="Arial" w:cs="Arial"/>
          <w:iCs/>
          <w:sz w:val="24"/>
        </w:rPr>
      </w:pPr>
      <w:r>
        <w:rPr>
          <w:rFonts w:ascii="Arial" w:hAnsi="Arial" w:cs="Arial"/>
          <w:iCs/>
          <w:sz w:val="24"/>
        </w:rPr>
        <w:t>K770002 GROBLJE LUKINIĆ BRDO:</w:t>
      </w:r>
    </w:p>
    <w:p>
      <w:pPr>
        <w:autoSpaceDE w:val="0"/>
        <w:autoSpaceDN w:val="0"/>
        <w:adjustRightInd w:val="0"/>
        <w:spacing w:after="0" w:line="240" w:lineRule="auto"/>
        <w:jc w:val="both"/>
        <w:rPr>
          <w:rFonts w:ascii="Arial" w:hAnsi="Arial" w:cs="Arial"/>
          <w:iCs/>
          <w:sz w:val="24"/>
        </w:rPr>
      </w:pPr>
      <w:r>
        <w:rPr>
          <w:rFonts w:ascii="Arial" w:hAnsi="Arial" w:cs="Arial"/>
          <w:iCs/>
          <w:sz w:val="24"/>
        </w:rPr>
        <w:t>U okviru ovog projekta planirani su rashodi za projektiranje mrtvačnice.</w:t>
      </w:r>
    </w:p>
    <w:p>
      <w:pPr>
        <w:autoSpaceDE w:val="0"/>
        <w:autoSpaceDN w:val="0"/>
        <w:adjustRightInd w:val="0"/>
        <w:spacing w:after="0" w:line="240" w:lineRule="auto"/>
        <w:jc w:val="both"/>
        <w:rPr>
          <w:rFonts w:ascii="Arial" w:hAnsi="Arial" w:cs="Arial"/>
          <w:iCs/>
          <w:sz w:val="24"/>
        </w:rPr>
      </w:pPr>
    </w:p>
    <w:p>
      <w:pPr>
        <w:autoSpaceDE w:val="0"/>
        <w:autoSpaceDN w:val="0"/>
        <w:adjustRightInd w:val="0"/>
        <w:spacing w:after="0" w:line="240" w:lineRule="auto"/>
        <w:jc w:val="both"/>
        <w:rPr>
          <w:rFonts w:ascii="Arial" w:hAnsi="Arial" w:cs="Arial"/>
          <w:iCs/>
          <w:sz w:val="24"/>
        </w:rPr>
      </w:pPr>
      <w:r>
        <w:rPr>
          <w:rFonts w:ascii="Arial" w:hAnsi="Arial" w:cs="Arial"/>
          <w:iCs/>
          <w:sz w:val="24"/>
        </w:rPr>
        <w:t>K770003 GROBLJE LIJEVI ŠTEFANKI:</w:t>
      </w:r>
    </w:p>
    <w:p>
      <w:pPr>
        <w:autoSpaceDE w:val="0"/>
        <w:autoSpaceDN w:val="0"/>
        <w:adjustRightInd w:val="0"/>
        <w:spacing w:after="0" w:line="240" w:lineRule="auto"/>
        <w:jc w:val="both"/>
        <w:rPr>
          <w:rFonts w:ascii="Arial" w:hAnsi="Arial" w:cs="Arial"/>
          <w:iCs/>
          <w:sz w:val="24"/>
        </w:rPr>
      </w:pPr>
      <w:r>
        <w:rPr>
          <w:rFonts w:ascii="Arial" w:hAnsi="Arial" w:cs="Arial"/>
          <w:iCs/>
          <w:sz w:val="24"/>
        </w:rPr>
        <w:t>U okviru ovog projekta planirani su rashodi za geodeziju i otkup zemljišta.</w:t>
      </w:r>
    </w:p>
    <w:p>
      <w:pPr>
        <w:autoSpaceDE w:val="0"/>
        <w:autoSpaceDN w:val="0"/>
        <w:adjustRightInd w:val="0"/>
        <w:spacing w:after="0" w:line="240" w:lineRule="auto"/>
        <w:jc w:val="both"/>
        <w:rPr>
          <w:rFonts w:ascii="Arial" w:hAnsi="Arial" w:cs="Arial"/>
          <w:iCs/>
          <w:sz w:val="24"/>
        </w:rPr>
      </w:pPr>
    </w:p>
    <w:p>
      <w:pPr>
        <w:autoSpaceDE w:val="0"/>
        <w:autoSpaceDN w:val="0"/>
        <w:adjustRightInd w:val="0"/>
        <w:spacing w:after="0" w:line="240" w:lineRule="auto"/>
        <w:jc w:val="both"/>
        <w:rPr>
          <w:rFonts w:ascii="Arial" w:hAnsi="Arial" w:cs="Arial"/>
          <w:iCs/>
          <w:sz w:val="24"/>
        </w:rPr>
      </w:pPr>
      <w:r>
        <w:rPr>
          <w:rFonts w:ascii="Arial" w:hAnsi="Arial" w:cs="Arial"/>
          <w:iCs/>
          <w:sz w:val="24"/>
        </w:rPr>
        <w:t>K770004 GROBLJE HOTNJA:</w:t>
      </w:r>
    </w:p>
    <w:p>
      <w:pPr>
        <w:autoSpaceDE w:val="0"/>
        <w:autoSpaceDN w:val="0"/>
        <w:adjustRightInd w:val="0"/>
        <w:spacing w:after="0" w:line="240" w:lineRule="auto"/>
        <w:jc w:val="both"/>
        <w:rPr>
          <w:rFonts w:ascii="Arial" w:hAnsi="Arial" w:cs="Arial"/>
          <w:iCs/>
          <w:sz w:val="24"/>
        </w:rPr>
      </w:pPr>
      <w:r>
        <w:rPr>
          <w:rFonts w:ascii="Arial" w:hAnsi="Arial" w:cs="Arial"/>
          <w:iCs/>
          <w:sz w:val="24"/>
        </w:rPr>
        <w:t>U okviru ovog projekta planirani su rashodi za uređenje mrtvačnice – postavljanje keramike.</w:t>
      </w:r>
    </w:p>
    <w:p>
      <w:pPr>
        <w:autoSpaceDE w:val="0"/>
        <w:autoSpaceDN w:val="0"/>
        <w:adjustRightInd w:val="0"/>
        <w:spacing w:after="0" w:line="240" w:lineRule="auto"/>
        <w:jc w:val="both"/>
        <w:rPr>
          <w:rFonts w:ascii="Arial" w:hAnsi="Arial" w:cs="Arial"/>
          <w:iCs/>
          <w:sz w:val="24"/>
        </w:rPr>
      </w:pPr>
    </w:p>
    <w:p>
      <w:pPr>
        <w:autoSpaceDE w:val="0"/>
        <w:autoSpaceDN w:val="0"/>
        <w:adjustRightInd w:val="0"/>
        <w:spacing w:after="0" w:line="240" w:lineRule="auto"/>
        <w:jc w:val="both"/>
        <w:rPr>
          <w:rFonts w:ascii="Arial" w:hAnsi="Arial" w:cs="Arial"/>
          <w:iCs/>
          <w:sz w:val="24"/>
        </w:rPr>
      </w:pPr>
      <w:r>
        <w:rPr>
          <w:rFonts w:ascii="Arial" w:hAnsi="Arial" w:cs="Arial"/>
          <w:iCs/>
          <w:sz w:val="24"/>
        </w:rPr>
        <w:t>PROGRAM 1709 ŠUMSKE CESTE</w:t>
      </w:r>
    </w:p>
    <w:p>
      <w:pPr>
        <w:autoSpaceDE w:val="0"/>
        <w:autoSpaceDN w:val="0"/>
        <w:adjustRightInd w:val="0"/>
        <w:spacing w:after="0" w:line="240" w:lineRule="auto"/>
        <w:jc w:val="both"/>
        <w:rPr>
          <w:rFonts w:ascii="Arial" w:hAnsi="Arial" w:cs="Arial"/>
          <w:iCs/>
          <w:sz w:val="24"/>
        </w:rPr>
      </w:pPr>
    </w:p>
    <w:p>
      <w:pPr>
        <w:autoSpaceDE w:val="0"/>
        <w:autoSpaceDN w:val="0"/>
        <w:adjustRightInd w:val="0"/>
        <w:spacing w:after="0" w:line="240" w:lineRule="auto"/>
        <w:jc w:val="both"/>
        <w:rPr>
          <w:rFonts w:ascii="Arial" w:hAnsi="Arial" w:cs="Arial"/>
          <w:iCs/>
          <w:sz w:val="24"/>
        </w:rPr>
      </w:pPr>
      <w:r>
        <w:rPr>
          <w:rFonts w:ascii="Arial" w:hAnsi="Arial" w:cs="Arial"/>
          <w:iCs/>
          <w:sz w:val="24"/>
        </w:rPr>
        <w:t>K990002 ŠUMSKE CESTE MARKUZI-ŠAŠE, TURKOVIĆI –MAGDIĆ, ŠESTAK BRDO-ŽUGAJI:</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ovog projekta planirani su rashodi za prijavu projekta na natječaj intervencije 73.08. i početak radova izgradnje.</w:t>
      </w:r>
    </w:p>
    <w:p>
      <w:pPr>
        <w:autoSpaceDE w:val="0"/>
        <w:autoSpaceDN w:val="0"/>
        <w:adjustRightInd w:val="0"/>
        <w:spacing w:after="0" w:line="240" w:lineRule="auto"/>
        <w:jc w:val="both"/>
        <w:rPr>
          <w:rFonts w:ascii="Arial" w:hAnsi="Arial" w:cs="Arial"/>
          <w:bCs/>
          <w:sz w:val="24"/>
          <w:szCs w:val="24"/>
        </w:rPr>
      </w:pPr>
    </w:p>
    <w:p>
      <w:pPr>
        <w:spacing w:after="0"/>
        <w:ind w:firstLine="709"/>
        <w:jc w:val="both"/>
        <w:rPr>
          <w:rFonts w:ascii="Arial" w:hAnsi="Arial" w:cs="Arial"/>
          <w:sz w:val="24"/>
        </w:rPr>
      </w:pPr>
      <w:r>
        <w:rPr>
          <w:rFonts w:ascii="Arial" w:hAnsi="Arial" w:cs="Arial"/>
          <w:b/>
          <w:color w:val="000000" w:themeColor="text1"/>
          <w:sz w:val="24"/>
        </w:rPr>
        <w:t>OPĆI CILJ</w:t>
      </w:r>
      <w:r>
        <w:rPr>
          <w:rFonts w:ascii="Arial" w:hAnsi="Arial" w:cs="Arial"/>
          <w:color w:val="000000" w:themeColor="text1"/>
          <w:sz w:val="24"/>
        </w:rPr>
        <w:t xml:space="preserve">: </w:t>
      </w:r>
      <w:r>
        <w:rPr>
          <w:rFonts w:ascii="Arial" w:hAnsi="Arial" w:cs="Arial"/>
          <w:sz w:val="24"/>
        </w:rPr>
        <w:t>Izgradnja komunalne infrastrukture.</w:t>
      </w:r>
    </w:p>
    <w:p>
      <w:pPr>
        <w:spacing w:after="0"/>
        <w:ind w:firstLine="709"/>
        <w:jc w:val="both"/>
        <w:rPr>
          <w:rFonts w:ascii="Arial" w:hAnsi="Arial" w:cs="Arial"/>
          <w:sz w:val="24"/>
        </w:rPr>
      </w:pPr>
      <w:r>
        <w:rPr>
          <w:rFonts w:ascii="Arial" w:hAnsi="Arial" w:cs="Arial"/>
          <w:b/>
          <w:sz w:val="24"/>
        </w:rPr>
        <w:t>POSEBNI CILJ</w:t>
      </w:r>
      <w:r>
        <w:rPr>
          <w:rFonts w:ascii="Arial" w:hAnsi="Arial" w:cs="Arial"/>
          <w:sz w:val="24"/>
        </w:rPr>
        <w:t>: Kontinuirana i kvalitetna izgradnja komunalne infrastrukture.</w:t>
      </w:r>
    </w:p>
    <w:p>
      <w:pPr>
        <w:spacing w:after="0"/>
        <w:ind w:firstLine="709"/>
        <w:jc w:val="both"/>
        <w:rPr>
          <w:rFonts w:ascii="Arial" w:hAnsi="Arial" w:cs="Arial"/>
          <w:color w:val="000000" w:themeColor="text1"/>
          <w:sz w:val="24"/>
        </w:rPr>
      </w:pPr>
      <w:r>
        <w:rPr>
          <w:rFonts w:ascii="Arial" w:hAnsi="Arial" w:cs="Arial"/>
          <w:b/>
          <w:sz w:val="24"/>
        </w:rPr>
        <w:t>POKAZATELJ USPJEŠNOSTI</w:t>
      </w:r>
      <w:r>
        <w:rPr>
          <w:rFonts w:ascii="Arial" w:hAnsi="Arial" w:cs="Arial"/>
          <w:sz w:val="24"/>
        </w:rPr>
        <w:t xml:space="preserve">: Zadovoljstvo mještana, </w:t>
      </w:r>
      <w:r>
        <w:rPr>
          <w:rFonts w:ascii="Arial" w:hAnsi="Arial" w:cs="Arial"/>
          <w:color w:val="000000" w:themeColor="text1"/>
          <w:sz w:val="24"/>
        </w:rPr>
        <w:t>podizanje kvalitete života i stanovanja.</w:t>
      </w:r>
    </w:p>
    <w:p>
      <w:pPr>
        <w:spacing w:after="0"/>
        <w:ind w:firstLine="709"/>
        <w:jc w:val="both"/>
        <w:rPr>
          <w:rFonts w:ascii="Arial" w:hAnsi="Arial" w:cs="Arial"/>
          <w:sz w:val="24"/>
        </w:rPr>
      </w:pPr>
    </w:p>
    <w:p>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PROGRAM 1801 GOSODARENJE OTPADOM</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A100001 ČIŠĆENJE DIVLJIH DEPONIJA</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Unutar ove aktivnosti planirani su rashodi za čišćenje divljih deponija u iznosu od 10.000,00 eura.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A100004 MOBILNO RECIKLAŽNO DVORIŠTE</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 xml:space="preserve">Planirani rashodi u iznosu od 5.000,00 eura odnose se na troškove upravljanja i održavanja mobilnog </w:t>
      </w:r>
      <w:proofErr w:type="spellStart"/>
      <w:r>
        <w:rPr>
          <w:rFonts w:ascii="Arial" w:hAnsi="Arial" w:cs="Arial"/>
          <w:bCs/>
          <w:sz w:val="24"/>
          <w:szCs w:val="24"/>
        </w:rPr>
        <w:t>reciklažnog</w:t>
      </w:r>
      <w:proofErr w:type="spellEnd"/>
      <w:r>
        <w:rPr>
          <w:rFonts w:ascii="Arial" w:hAnsi="Arial" w:cs="Arial"/>
          <w:bCs/>
          <w:sz w:val="24"/>
          <w:szCs w:val="24"/>
        </w:rPr>
        <w:t xml:space="preserve"> dvorišta.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K100002 IZGRADNJA ZELENIH OTOKOA</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ovog projekta planirani su rashodi za izgradnju zelenog otoka na Sunčanom brijegu – izgradnja spremišta za kontejnera i nabava zvona za staklo za mjesne odbore u kojima još nisu postavljeni.</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K10003 KOMUNALNA OPREMA</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ovog programa planirani su rashodi u iznosu od 5.000,00 eura za nabavu dodatnih spremnika.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b/>
      </w:r>
      <w:r>
        <w:rPr>
          <w:rFonts w:ascii="Arial" w:hAnsi="Arial" w:cs="Arial"/>
          <w:b/>
          <w:bCs/>
          <w:sz w:val="24"/>
          <w:szCs w:val="24"/>
        </w:rPr>
        <w:t>OPĆI CILJ</w:t>
      </w:r>
      <w:r>
        <w:rPr>
          <w:rFonts w:ascii="Arial" w:hAnsi="Arial" w:cs="Arial"/>
          <w:bCs/>
          <w:sz w:val="24"/>
          <w:szCs w:val="24"/>
        </w:rPr>
        <w:t>: Zaštita okoliša, unapređenje kvalitete življenja i smanjenje divljih odlagališta otpada.</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b/>
      </w:r>
      <w:r>
        <w:rPr>
          <w:rFonts w:ascii="Arial" w:hAnsi="Arial" w:cs="Arial"/>
          <w:b/>
          <w:bCs/>
          <w:sz w:val="24"/>
          <w:szCs w:val="24"/>
        </w:rPr>
        <w:t>POSEBNI CILJ</w:t>
      </w:r>
      <w:r>
        <w:rPr>
          <w:rFonts w:ascii="Arial" w:hAnsi="Arial" w:cs="Arial"/>
          <w:bCs/>
          <w:sz w:val="24"/>
          <w:szCs w:val="24"/>
        </w:rPr>
        <w:t>: Održavanje zdravog i čistog okoliša.</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b/>
      </w:r>
      <w:r>
        <w:rPr>
          <w:rFonts w:ascii="Arial" w:hAnsi="Arial" w:cs="Arial"/>
          <w:b/>
          <w:bCs/>
          <w:sz w:val="24"/>
          <w:szCs w:val="24"/>
        </w:rPr>
        <w:t>POKAZATELJ USPJEŠNOSTI</w:t>
      </w:r>
      <w:r>
        <w:rPr>
          <w:rFonts w:ascii="Arial" w:hAnsi="Arial" w:cs="Arial"/>
          <w:bCs/>
          <w:sz w:val="24"/>
          <w:szCs w:val="24"/>
        </w:rPr>
        <w:t>: Smanjenje broja divljih odlagališta otpada.</w:t>
      </w:r>
    </w:p>
    <w:p>
      <w:pPr>
        <w:autoSpaceDE w:val="0"/>
        <w:autoSpaceDN w:val="0"/>
        <w:adjustRightInd w:val="0"/>
        <w:spacing w:after="0" w:line="240" w:lineRule="auto"/>
        <w:jc w:val="both"/>
        <w:rPr>
          <w:rFonts w:ascii="Arial" w:hAnsi="Arial" w:cs="Arial"/>
          <w:b/>
          <w:bCs/>
          <w:sz w:val="24"/>
          <w:szCs w:val="24"/>
        </w:rPr>
      </w:pPr>
    </w:p>
    <w:p>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PRORAČUNSKI KORISNIK:</w:t>
      </w:r>
    </w:p>
    <w:p>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48195 OPĆINSKA KNJIŽNICA POKUPSKO:</w:t>
      </w:r>
    </w:p>
    <w:p>
      <w:pPr>
        <w:autoSpaceDE w:val="0"/>
        <w:autoSpaceDN w:val="0"/>
        <w:adjustRightInd w:val="0"/>
        <w:spacing w:after="0" w:line="240" w:lineRule="auto"/>
        <w:jc w:val="both"/>
        <w:rPr>
          <w:rFonts w:ascii="Arial" w:hAnsi="Arial" w:cs="Arial"/>
          <w:bCs/>
          <w:sz w:val="24"/>
          <w:szCs w:val="24"/>
        </w:rPr>
      </w:pPr>
    </w:p>
    <w:p>
      <w:pPr>
        <w:jc w:val="both"/>
        <w:rPr>
          <w:rFonts w:ascii="Arial" w:hAnsi="Arial" w:cs="Arial"/>
          <w:sz w:val="24"/>
          <w:szCs w:val="24"/>
        </w:rPr>
      </w:pPr>
      <w:r>
        <w:rPr>
          <w:rFonts w:ascii="Arial" w:hAnsi="Arial" w:cs="Arial"/>
          <w:sz w:val="24"/>
          <w:szCs w:val="24"/>
        </w:rPr>
        <w:t>Rashodi poslovanja za obavljanje redovne knjižničarske djelatnosti u 2026. godini planiraju se približno u visini ostvarenih rashoda za istu namjenu u 2024. i  2025. godini.</w:t>
      </w:r>
    </w:p>
    <w:p>
      <w:pPr>
        <w:pStyle w:val="Default"/>
        <w:numPr>
          <w:ilvl w:val="0"/>
          <w:numId w:val="2"/>
        </w:numPr>
        <w:jc w:val="both"/>
        <w:rPr>
          <w:rFonts w:ascii="Arial" w:hAnsi="Arial" w:cs="Arial"/>
        </w:rPr>
      </w:pPr>
      <w:r>
        <w:rPr>
          <w:rFonts w:ascii="Arial" w:hAnsi="Arial" w:cs="Arial"/>
        </w:rPr>
        <w:t>Rashodi za zaposlene planirani su u povećanom iznosu u skladu s preporučenim i očekivanim postotkom povećanja prema povećanju plaće po godinama staža.</w:t>
      </w:r>
    </w:p>
    <w:p>
      <w:pPr>
        <w:pStyle w:val="Default"/>
        <w:jc w:val="both"/>
        <w:rPr>
          <w:rFonts w:ascii="Arial" w:hAnsi="Arial" w:cs="Arial"/>
        </w:rPr>
      </w:pPr>
      <w:r>
        <w:rPr>
          <w:rFonts w:ascii="Arial" w:hAnsi="Arial" w:cs="Arial"/>
        </w:rPr>
        <w:t>Troškovi rashoda za zaposlene planiraju se kao i do sada podmiriti od prihoda ostvarenih iz  sredstva Općinskog proračuna.</w:t>
      </w:r>
    </w:p>
    <w:p>
      <w:pPr>
        <w:pStyle w:val="Default"/>
        <w:numPr>
          <w:ilvl w:val="0"/>
          <w:numId w:val="2"/>
        </w:numPr>
        <w:jc w:val="both"/>
        <w:rPr>
          <w:rFonts w:ascii="Arial" w:hAnsi="Arial" w:cs="Arial"/>
        </w:rPr>
      </w:pPr>
      <w:r>
        <w:rPr>
          <w:rFonts w:ascii="Arial" w:hAnsi="Arial" w:cs="Arial"/>
        </w:rPr>
        <w:t xml:space="preserve">Materijalni rashodi planiraju se u približno jednakom iznosu u skladu s preporukama uštede u troškovima za redovito poslovanje knjižnice. </w:t>
      </w:r>
    </w:p>
    <w:p>
      <w:pPr>
        <w:pStyle w:val="Default"/>
        <w:jc w:val="both"/>
        <w:rPr>
          <w:rFonts w:ascii="Arial" w:hAnsi="Arial" w:cs="Arial"/>
        </w:rPr>
      </w:pPr>
      <w:r>
        <w:rPr>
          <w:rFonts w:ascii="Arial" w:hAnsi="Arial" w:cs="Arial"/>
        </w:rPr>
        <w:t xml:space="preserve">Za materijalne rashode nastale u obavljanju redovne djelatnosti sredstva će se osigurati najvećim dijelom iz proračunskih sredstava. </w:t>
      </w:r>
    </w:p>
    <w:p>
      <w:pPr>
        <w:pStyle w:val="Default"/>
        <w:jc w:val="both"/>
        <w:rPr>
          <w:rFonts w:ascii="Arial" w:hAnsi="Arial" w:cs="Arial"/>
        </w:rPr>
      </w:pPr>
      <w:r>
        <w:rPr>
          <w:rFonts w:ascii="Arial" w:hAnsi="Arial" w:cs="Arial"/>
        </w:rPr>
        <w:t xml:space="preserve">Sredstvima iz Proračuna namijenjenim za materijalne rashode podmirit će se dijelom troškovi naknade troškova zaposlenicima, uredskog materijala, materijal i dijelovi za tekuće i investicijsko održavanje, usluge telefona i interneta, usluge tekućeg i investicijskog održavanja, bankarske usluge,  te održavanje programske podrške ZAKI, informatičke firme VIVA@info i Knjižnica grada Zagreba u čijem programskom sastavu je od 2002. godine i naša knjižnica. </w:t>
      </w:r>
    </w:p>
    <w:p>
      <w:pPr>
        <w:jc w:val="both"/>
        <w:rPr>
          <w:rFonts w:ascii="Arial" w:hAnsi="Arial" w:cs="Arial"/>
          <w:b/>
          <w:sz w:val="24"/>
          <w:szCs w:val="24"/>
        </w:rPr>
      </w:pPr>
    </w:p>
    <w:p>
      <w:pPr>
        <w:ind w:firstLine="360"/>
        <w:jc w:val="both"/>
        <w:rPr>
          <w:rFonts w:ascii="Times New Roman" w:hAnsi="Times New Roman" w:cs="Times New Roman"/>
          <w:sz w:val="24"/>
          <w:szCs w:val="24"/>
        </w:rPr>
      </w:pPr>
      <w:r>
        <w:rPr>
          <w:rStyle w:val="Zadanifontodlomka"/>
          <w:rFonts w:ascii="Arial" w:hAnsi="Arial" w:cs="Arial"/>
          <w:sz w:val="24"/>
          <w:szCs w:val="24"/>
        </w:rPr>
        <w:t xml:space="preserve">Osim troškova za redovito poslovanje knjižnice i u 2026. godini izdvojit će se sredstva za </w:t>
      </w:r>
      <w:r>
        <w:rPr>
          <w:rStyle w:val="Zadanifontodlomka"/>
          <w:rFonts w:ascii="Arial" w:hAnsi="Arial" w:cs="Arial"/>
          <w:b/>
          <w:bCs/>
          <w:sz w:val="24"/>
          <w:szCs w:val="24"/>
        </w:rPr>
        <w:t xml:space="preserve">nabavku knjižne i neknjižne građe </w:t>
      </w:r>
      <w:r>
        <w:rPr>
          <w:rStyle w:val="Zadanifontodlomka"/>
          <w:rFonts w:ascii="Arial" w:hAnsi="Arial" w:cs="Arial"/>
          <w:sz w:val="24"/>
          <w:szCs w:val="24"/>
        </w:rPr>
        <w:t>kao preduvjet osnovne djelatnosti knjižnice (posudba građe).</w:t>
      </w:r>
    </w:p>
    <w:p>
      <w:pPr>
        <w:jc w:val="both"/>
        <w:rPr>
          <w:sz w:val="24"/>
          <w:szCs w:val="24"/>
        </w:rPr>
      </w:pPr>
      <w:r>
        <w:rPr>
          <w:rFonts w:ascii="Arial" w:hAnsi="Arial" w:cs="Arial"/>
          <w:sz w:val="24"/>
          <w:szCs w:val="24"/>
        </w:rPr>
        <w:t xml:space="preserve">Za tu svrhu, kao i svake godine, osigurat će se sredstva od strane Ministarstva kulture RH i  Zagrebačke županije. </w:t>
      </w:r>
      <w:r>
        <w:rPr>
          <w:rStyle w:val="Zadanifontodlomka"/>
          <w:rFonts w:ascii="Arial" w:hAnsi="Arial" w:cs="Arial"/>
          <w:sz w:val="24"/>
          <w:szCs w:val="24"/>
        </w:rPr>
        <w:t xml:space="preserve">Redovita nabava knjižnične građe preduvjet je normalnog rada knjižnice i ostvarivanje cilja djelatnosti u skladu sa Zakonom o knjižnicama, Standardima za narodne knjižnice RH i Statutom knjižnice. Iako se prijedlogom sufinanciranja vodilo računa o smanjenim mogućnostima Proračuna trebalo bi pronaći mogućnost povećanja sredstava za ovu namjenu. </w:t>
      </w:r>
    </w:p>
    <w:p>
      <w:pPr>
        <w:pStyle w:val="Default"/>
        <w:jc w:val="both"/>
        <w:rPr>
          <w:rFonts w:ascii="Arial" w:hAnsi="Arial" w:cs="Arial"/>
        </w:rPr>
      </w:pPr>
      <w:r>
        <w:rPr>
          <w:rFonts w:ascii="Arial" w:hAnsi="Arial" w:cs="Arial"/>
        </w:rPr>
        <w:t xml:space="preserve">Prilikom izrade plana nabave vodilo se računa o trenutnom stanju knjižnog fonda, kao i potrebama i zahtjevima korisnika knjižnice, kriterijima predviđenim Standardima za narodne knjižnice RH kao i mogućnostima Proračuna u skladu s uputama. </w:t>
      </w:r>
    </w:p>
    <w:p>
      <w:pPr>
        <w:jc w:val="both"/>
        <w:rPr>
          <w:rFonts w:ascii="Arial" w:hAnsi="Arial" w:cs="Arial"/>
          <w:sz w:val="24"/>
          <w:szCs w:val="24"/>
        </w:rPr>
      </w:pPr>
      <w:r>
        <w:rPr>
          <w:rFonts w:ascii="Arial" w:hAnsi="Arial" w:cs="Arial"/>
          <w:sz w:val="24"/>
          <w:szCs w:val="24"/>
        </w:rPr>
        <w:t xml:space="preserve">Projekcija troškova za nabavu knjižnične građe u periodu 2026. do 2028. neznatno se povećavaju skladu s trenutnom financijskom situacijom osnivača Općine Pokupsko i Ministarstva kulture RH. </w:t>
      </w:r>
    </w:p>
    <w:p>
      <w:pPr>
        <w:autoSpaceDE w:val="0"/>
        <w:autoSpaceDN w:val="0"/>
        <w:adjustRightInd w:val="0"/>
        <w:spacing w:after="0" w:line="240" w:lineRule="auto"/>
        <w:jc w:val="both"/>
        <w:rPr>
          <w:rFonts w:ascii="Arial" w:hAnsi="Arial" w:cs="Arial"/>
          <w:b/>
          <w:bCs/>
          <w:sz w:val="24"/>
          <w:szCs w:val="24"/>
        </w:rPr>
      </w:pPr>
    </w:p>
    <w:p>
      <w:pPr>
        <w:spacing w:after="0" w:line="276" w:lineRule="auto"/>
        <w:ind w:firstLine="360"/>
        <w:jc w:val="both"/>
        <w:rPr>
          <w:rFonts w:ascii="Arial" w:eastAsia="Times New Roman" w:hAnsi="Arial" w:cs="Arial"/>
          <w:sz w:val="24"/>
          <w:szCs w:val="24"/>
          <w:lang w:eastAsia="ar-SA"/>
        </w:rPr>
      </w:pPr>
      <w:r>
        <w:rPr>
          <w:rFonts w:ascii="Arial" w:eastAsia="Times New Roman" w:hAnsi="Arial" w:cs="Arial"/>
          <w:b/>
          <w:color w:val="000000" w:themeColor="text1"/>
          <w:sz w:val="24"/>
          <w:szCs w:val="24"/>
          <w:lang w:eastAsia="ar-SA"/>
        </w:rPr>
        <w:t>OPĆI CILJ</w:t>
      </w:r>
      <w:r>
        <w:rPr>
          <w:rFonts w:ascii="Arial" w:eastAsia="Times New Roman" w:hAnsi="Arial" w:cs="Arial"/>
          <w:color w:val="000000" w:themeColor="text1"/>
          <w:sz w:val="24"/>
          <w:szCs w:val="24"/>
          <w:lang w:eastAsia="ar-SA"/>
        </w:rPr>
        <w:t xml:space="preserve">: </w:t>
      </w:r>
      <w:r>
        <w:rPr>
          <w:rFonts w:ascii="Arial" w:eastAsia="Times New Roman" w:hAnsi="Arial" w:cs="Arial"/>
          <w:sz w:val="24"/>
          <w:szCs w:val="24"/>
          <w:lang w:eastAsia="ar-SA"/>
        </w:rPr>
        <w:t>Osiguranje višeg stupnja i standarda obrazovanja.</w:t>
      </w:r>
    </w:p>
    <w:p>
      <w:pPr>
        <w:suppressAutoHyphens/>
        <w:spacing w:after="0" w:line="240" w:lineRule="auto"/>
        <w:ind w:firstLine="360"/>
        <w:jc w:val="both"/>
        <w:rPr>
          <w:rFonts w:ascii="Arial" w:eastAsia="Times New Roman" w:hAnsi="Arial" w:cs="Arial"/>
          <w:sz w:val="24"/>
          <w:szCs w:val="24"/>
          <w:lang w:eastAsia="ar-SA"/>
        </w:rPr>
      </w:pPr>
      <w:r>
        <w:rPr>
          <w:rFonts w:ascii="Arial" w:eastAsia="Times New Roman" w:hAnsi="Arial" w:cs="Arial"/>
          <w:b/>
          <w:sz w:val="24"/>
          <w:szCs w:val="24"/>
          <w:lang w:eastAsia="ar-SA"/>
        </w:rPr>
        <w:t>POSEBNI CILJ:</w:t>
      </w:r>
      <w:r>
        <w:rPr>
          <w:rFonts w:ascii="Arial" w:eastAsia="Times New Roman" w:hAnsi="Arial" w:cs="Arial"/>
          <w:sz w:val="24"/>
          <w:szCs w:val="24"/>
          <w:lang w:eastAsia="ar-SA"/>
        </w:rPr>
        <w:t xml:space="preserve"> Unapređenje kulturnog i društvenog života.</w:t>
      </w:r>
    </w:p>
    <w:p>
      <w:pPr>
        <w:autoSpaceDE w:val="0"/>
        <w:autoSpaceDN w:val="0"/>
        <w:adjustRightInd w:val="0"/>
        <w:spacing w:after="0" w:line="240" w:lineRule="auto"/>
        <w:ind w:firstLine="360"/>
        <w:jc w:val="both"/>
        <w:rPr>
          <w:rFonts w:ascii="Arial" w:hAnsi="Arial" w:cs="Arial"/>
          <w:bCs/>
          <w:sz w:val="24"/>
          <w:szCs w:val="24"/>
        </w:rPr>
      </w:pPr>
      <w:r>
        <w:rPr>
          <w:rFonts w:ascii="Arial" w:eastAsia="Times New Roman" w:hAnsi="Arial" w:cs="Arial"/>
          <w:b/>
          <w:sz w:val="24"/>
          <w:szCs w:val="24"/>
          <w:lang w:eastAsia="ar-SA"/>
        </w:rPr>
        <w:t>POKAZATELJ USPJEŠNOSTI</w:t>
      </w:r>
      <w:r>
        <w:rPr>
          <w:rFonts w:ascii="Arial" w:eastAsia="Times New Roman" w:hAnsi="Arial" w:cs="Arial"/>
          <w:sz w:val="24"/>
          <w:szCs w:val="24"/>
          <w:lang w:eastAsia="ar-SA"/>
        </w:rPr>
        <w:t>: Učlanjeni novi članovi, povećanje broja korisnika usluge Knjižnice, povećanje knjižnoga fonda.</w:t>
      </w: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147C"/>
    <w:multiLevelType w:val="multilevel"/>
    <w:tmpl w:val="F7FC2BEC"/>
    <w:lvl w:ilvl="0">
      <w:numFmt w:val="bullet"/>
      <w:lvlText w:val=""/>
      <w:lvlJc w:val="left"/>
      <w:pPr>
        <w:ind w:left="720" w:hanging="360"/>
      </w:pPr>
      <w:rPr>
        <w:rFonts w:ascii="Wingdings" w:hAnsi="Wingdings"/>
      </w:rPr>
    </w:lvl>
    <w:lvl w:ilvl="1">
      <w:numFmt w:val="bullet"/>
      <w:lvlText w:val=""/>
      <w:lvlJc w:val="left"/>
      <w:pPr>
        <w:ind w:left="1440" w:hanging="360"/>
      </w:pPr>
      <w:rPr>
        <w:rFonts w:ascii="Calibri" w:eastAsia="Calibri" w:hAnsi="Calibri" w:cs="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12B1C67"/>
    <w:multiLevelType w:val="multilevel"/>
    <w:tmpl w:val="AE428EE8"/>
    <w:lvl w:ilvl="0">
      <w:start w:val="1"/>
      <w:numFmt w:val="decimal"/>
      <w:lvlText w:val="%1."/>
      <w:lvlJc w:val="left"/>
      <w:pPr>
        <w:ind w:left="585" w:hanging="585"/>
      </w:pPr>
      <w:rPr>
        <w:rFonts w:hint="default"/>
        <w:sz w:val="24"/>
      </w:rPr>
    </w:lvl>
    <w:lvl w:ilvl="1">
      <w:start w:val="1"/>
      <w:numFmt w:val="decimal"/>
      <w:lvlText w:val="%1.%2."/>
      <w:lvlJc w:val="left"/>
      <w:pPr>
        <w:ind w:left="585" w:hanging="585"/>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992F1-18FB-41E4-A2E4-0A6EA8616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style>
  <w:style w:type="paragraph" w:styleId="ListParagraph">
    <w:name w:val="List Paragraph"/>
    <w:basedOn w:val="Normal"/>
    <w:uiPriority w:val="34"/>
    <w:qFormat/>
    <w:pPr>
      <w:ind w:left="720"/>
      <w:contextualSpacing/>
    </w:pPr>
  </w:style>
  <w:style w:type="paragraph" w:customStyle="1" w:styleId="Default">
    <w:name w:val="Default"/>
    <w:pPr>
      <w:suppressAutoHyphens/>
      <w:autoSpaceDE w:val="0"/>
      <w:autoSpaceDN w:val="0"/>
      <w:spacing w:after="0" w:line="240" w:lineRule="auto"/>
    </w:pPr>
    <w:rPr>
      <w:rFonts w:ascii="Calibri" w:eastAsia="Calibri" w:hAnsi="Calibri" w:cs="Calibri"/>
      <w:color w:val="000000"/>
      <w:sz w:val="24"/>
      <w:szCs w:val="24"/>
      <w:lang w:eastAsia="hr-HR"/>
    </w:rPr>
  </w:style>
  <w:style w:type="character" w:customStyle="1" w:styleId="Zadanifontodlomka">
    <w:name w:val="Zadani font odlomka"/>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831329">
      <w:bodyDiv w:val="1"/>
      <w:marLeft w:val="0"/>
      <w:marRight w:val="0"/>
      <w:marTop w:val="0"/>
      <w:marBottom w:val="0"/>
      <w:divBdr>
        <w:top w:val="none" w:sz="0" w:space="0" w:color="auto"/>
        <w:left w:val="none" w:sz="0" w:space="0" w:color="auto"/>
        <w:bottom w:val="none" w:sz="0" w:space="0" w:color="auto"/>
        <w:right w:val="none" w:sz="0" w:space="0" w:color="auto"/>
      </w:divBdr>
    </w:div>
    <w:div w:id="793793772">
      <w:bodyDiv w:val="1"/>
      <w:marLeft w:val="0"/>
      <w:marRight w:val="0"/>
      <w:marTop w:val="0"/>
      <w:marBottom w:val="0"/>
      <w:divBdr>
        <w:top w:val="none" w:sz="0" w:space="0" w:color="auto"/>
        <w:left w:val="none" w:sz="0" w:space="0" w:color="auto"/>
        <w:bottom w:val="none" w:sz="0" w:space="0" w:color="auto"/>
        <w:right w:val="none" w:sz="0" w:space="0" w:color="auto"/>
      </w:divBdr>
    </w:div>
    <w:div w:id="809708943">
      <w:bodyDiv w:val="1"/>
      <w:marLeft w:val="0"/>
      <w:marRight w:val="0"/>
      <w:marTop w:val="0"/>
      <w:marBottom w:val="0"/>
      <w:divBdr>
        <w:top w:val="none" w:sz="0" w:space="0" w:color="auto"/>
        <w:left w:val="none" w:sz="0" w:space="0" w:color="auto"/>
        <w:bottom w:val="none" w:sz="0" w:space="0" w:color="auto"/>
        <w:right w:val="none" w:sz="0" w:space="0" w:color="auto"/>
      </w:divBdr>
    </w:div>
    <w:div w:id="967278186">
      <w:bodyDiv w:val="1"/>
      <w:marLeft w:val="0"/>
      <w:marRight w:val="0"/>
      <w:marTop w:val="0"/>
      <w:marBottom w:val="0"/>
      <w:divBdr>
        <w:top w:val="none" w:sz="0" w:space="0" w:color="auto"/>
        <w:left w:val="none" w:sz="0" w:space="0" w:color="auto"/>
        <w:bottom w:val="none" w:sz="0" w:space="0" w:color="auto"/>
        <w:right w:val="none" w:sz="0" w:space="0" w:color="auto"/>
      </w:divBdr>
    </w:div>
    <w:div w:id="974025683">
      <w:bodyDiv w:val="1"/>
      <w:marLeft w:val="0"/>
      <w:marRight w:val="0"/>
      <w:marTop w:val="0"/>
      <w:marBottom w:val="0"/>
      <w:divBdr>
        <w:top w:val="none" w:sz="0" w:space="0" w:color="auto"/>
        <w:left w:val="none" w:sz="0" w:space="0" w:color="auto"/>
        <w:bottom w:val="none" w:sz="0" w:space="0" w:color="auto"/>
        <w:right w:val="none" w:sz="0" w:space="0" w:color="auto"/>
      </w:divBdr>
    </w:div>
    <w:div w:id="1025861650">
      <w:bodyDiv w:val="1"/>
      <w:marLeft w:val="0"/>
      <w:marRight w:val="0"/>
      <w:marTop w:val="0"/>
      <w:marBottom w:val="0"/>
      <w:divBdr>
        <w:top w:val="none" w:sz="0" w:space="0" w:color="auto"/>
        <w:left w:val="none" w:sz="0" w:space="0" w:color="auto"/>
        <w:bottom w:val="none" w:sz="0" w:space="0" w:color="auto"/>
        <w:right w:val="none" w:sz="0" w:space="0" w:color="auto"/>
      </w:divBdr>
    </w:div>
    <w:div w:id="1027366455">
      <w:bodyDiv w:val="1"/>
      <w:marLeft w:val="0"/>
      <w:marRight w:val="0"/>
      <w:marTop w:val="0"/>
      <w:marBottom w:val="0"/>
      <w:divBdr>
        <w:top w:val="none" w:sz="0" w:space="0" w:color="auto"/>
        <w:left w:val="none" w:sz="0" w:space="0" w:color="auto"/>
        <w:bottom w:val="none" w:sz="0" w:space="0" w:color="auto"/>
        <w:right w:val="none" w:sz="0" w:space="0" w:color="auto"/>
      </w:divBdr>
    </w:div>
    <w:div w:id="1214343060">
      <w:bodyDiv w:val="1"/>
      <w:marLeft w:val="0"/>
      <w:marRight w:val="0"/>
      <w:marTop w:val="0"/>
      <w:marBottom w:val="0"/>
      <w:divBdr>
        <w:top w:val="none" w:sz="0" w:space="0" w:color="auto"/>
        <w:left w:val="none" w:sz="0" w:space="0" w:color="auto"/>
        <w:bottom w:val="none" w:sz="0" w:space="0" w:color="auto"/>
        <w:right w:val="none" w:sz="0" w:space="0" w:color="auto"/>
      </w:divBdr>
    </w:div>
    <w:div w:id="1443106631">
      <w:bodyDiv w:val="1"/>
      <w:marLeft w:val="0"/>
      <w:marRight w:val="0"/>
      <w:marTop w:val="0"/>
      <w:marBottom w:val="0"/>
      <w:divBdr>
        <w:top w:val="none" w:sz="0" w:space="0" w:color="auto"/>
        <w:left w:val="none" w:sz="0" w:space="0" w:color="auto"/>
        <w:bottom w:val="none" w:sz="0" w:space="0" w:color="auto"/>
        <w:right w:val="none" w:sz="0" w:space="0" w:color="auto"/>
      </w:divBdr>
    </w:div>
    <w:div w:id="1464150899">
      <w:bodyDiv w:val="1"/>
      <w:marLeft w:val="0"/>
      <w:marRight w:val="0"/>
      <w:marTop w:val="0"/>
      <w:marBottom w:val="0"/>
      <w:divBdr>
        <w:top w:val="none" w:sz="0" w:space="0" w:color="auto"/>
        <w:left w:val="none" w:sz="0" w:space="0" w:color="auto"/>
        <w:bottom w:val="none" w:sz="0" w:space="0" w:color="auto"/>
        <w:right w:val="none" w:sz="0" w:space="0" w:color="auto"/>
      </w:divBdr>
    </w:div>
    <w:div w:id="1512136701">
      <w:bodyDiv w:val="1"/>
      <w:marLeft w:val="0"/>
      <w:marRight w:val="0"/>
      <w:marTop w:val="0"/>
      <w:marBottom w:val="0"/>
      <w:divBdr>
        <w:top w:val="none" w:sz="0" w:space="0" w:color="auto"/>
        <w:left w:val="none" w:sz="0" w:space="0" w:color="auto"/>
        <w:bottom w:val="none" w:sz="0" w:space="0" w:color="auto"/>
        <w:right w:val="none" w:sz="0" w:space="0" w:color="auto"/>
      </w:divBdr>
    </w:div>
    <w:div w:id="1637680230">
      <w:bodyDiv w:val="1"/>
      <w:marLeft w:val="0"/>
      <w:marRight w:val="0"/>
      <w:marTop w:val="0"/>
      <w:marBottom w:val="0"/>
      <w:divBdr>
        <w:top w:val="none" w:sz="0" w:space="0" w:color="auto"/>
        <w:left w:val="none" w:sz="0" w:space="0" w:color="auto"/>
        <w:bottom w:val="none" w:sz="0" w:space="0" w:color="auto"/>
        <w:right w:val="none" w:sz="0" w:space="0" w:color="auto"/>
      </w:divBdr>
    </w:div>
    <w:div w:id="1754276298">
      <w:bodyDiv w:val="1"/>
      <w:marLeft w:val="0"/>
      <w:marRight w:val="0"/>
      <w:marTop w:val="0"/>
      <w:marBottom w:val="0"/>
      <w:divBdr>
        <w:top w:val="none" w:sz="0" w:space="0" w:color="auto"/>
        <w:left w:val="none" w:sz="0" w:space="0" w:color="auto"/>
        <w:bottom w:val="none" w:sz="0" w:space="0" w:color="auto"/>
        <w:right w:val="none" w:sz="0" w:space="0" w:color="auto"/>
      </w:divBdr>
    </w:div>
    <w:div w:id="1798797248">
      <w:bodyDiv w:val="1"/>
      <w:marLeft w:val="0"/>
      <w:marRight w:val="0"/>
      <w:marTop w:val="0"/>
      <w:marBottom w:val="0"/>
      <w:divBdr>
        <w:top w:val="none" w:sz="0" w:space="0" w:color="auto"/>
        <w:left w:val="none" w:sz="0" w:space="0" w:color="auto"/>
        <w:bottom w:val="none" w:sz="0" w:space="0" w:color="auto"/>
        <w:right w:val="none" w:sz="0" w:space="0" w:color="auto"/>
      </w:divBdr>
    </w:div>
    <w:div w:id="1809319010">
      <w:bodyDiv w:val="1"/>
      <w:marLeft w:val="0"/>
      <w:marRight w:val="0"/>
      <w:marTop w:val="0"/>
      <w:marBottom w:val="0"/>
      <w:divBdr>
        <w:top w:val="none" w:sz="0" w:space="0" w:color="auto"/>
        <w:left w:val="none" w:sz="0" w:space="0" w:color="auto"/>
        <w:bottom w:val="none" w:sz="0" w:space="0" w:color="auto"/>
        <w:right w:val="none" w:sz="0" w:space="0" w:color="auto"/>
      </w:divBdr>
    </w:div>
    <w:div w:id="212719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F5BCA-9B01-4EFF-947A-A14635918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11</Pages>
  <Words>3668</Words>
  <Characters>20910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19</cp:revision>
  <dcterms:created xsi:type="dcterms:W3CDTF">2023-11-15T07:49:00Z</dcterms:created>
  <dcterms:modified xsi:type="dcterms:W3CDTF">2025-12-16T12:10:00Z</dcterms:modified>
</cp:coreProperties>
</file>