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lang w:val="hr-HR"/>
        </w:rPr>
      </w:pPr>
    </w:p>
    <w:p>
      <w:pPr>
        <w:jc w:val="center"/>
        <w:rPr>
          <w:sz w:val="24"/>
          <w:lang w:val="hr-HR"/>
        </w:rPr>
      </w:pPr>
      <w:r>
        <w:rPr>
          <w:sz w:val="24"/>
          <w:lang w:val="hr-HR"/>
        </w:rPr>
        <w:t>OBRAZLOŽENJE UZ I. IZMJENE I DOPUNE PRORAČUNA OPĆINE POKUPSKO ZA 2025. GODINU</w:t>
      </w:r>
    </w:p>
    <w:p>
      <w:pPr>
        <w:jc w:val="center"/>
        <w:rPr>
          <w:sz w:val="24"/>
          <w:lang w:val="hr-HR"/>
        </w:rPr>
      </w:pPr>
    </w:p>
    <w:p>
      <w:pPr>
        <w:jc w:val="both"/>
        <w:rPr>
          <w:sz w:val="22"/>
          <w:szCs w:val="22"/>
        </w:rPr>
      </w:pPr>
      <w:r>
        <w:rPr>
          <w:sz w:val="22"/>
          <w:szCs w:val="22"/>
        </w:rPr>
        <w:t>UVOD</w:t>
      </w:r>
    </w:p>
    <w:p>
      <w:pPr>
        <w:jc w:val="both"/>
      </w:pPr>
    </w:p>
    <w:p>
      <w:pPr>
        <w:jc w:val="both"/>
      </w:pPr>
    </w:p>
    <w:p>
      <w:pPr>
        <w:rPr>
          <w:sz w:val="24"/>
        </w:rPr>
      </w:pPr>
      <w:proofErr w:type="spellStart"/>
      <w:r>
        <w:rPr>
          <w:sz w:val="24"/>
        </w:rPr>
        <w:t>Sukladno</w:t>
      </w:r>
      <w:proofErr w:type="spellEnd"/>
      <w:r>
        <w:rPr>
          <w:sz w:val="24"/>
        </w:rPr>
        <w:t xml:space="preserve"> </w:t>
      </w:r>
      <w:proofErr w:type="spellStart"/>
      <w:r>
        <w:rPr>
          <w:sz w:val="24"/>
        </w:rPr>
        <w:t>članku</w:t>
      </w:r>
      <w:proofErr w:type="spellEnd"/>
      <w:r>
        <w:rPr>
          <w:sz w:val="24"/>
        </w:rPr>
        <w:t xml:space="preserve"> 45. </w:t>
      </w:r>
      <w:proofErr w:type="spellStart"/>
      <w:r>
        <w:rPr>
          <w:sz w:val="24"/>
        </w:rPr>
        <w:t>Zakona</w:t>
      </w:r>
      <w:proofErr w:type="spellEnd"/>
      <w:r>
        <w:rPr>
          <w:sz w:val="24"/>
        </w:rPr>
        <w:t xml:space="preserve"> o </w:t>
      </w:r>
      <w:proofErr w:type="spellStart"/>
      <w:r>
        <w:rPr>
          <w:sz w:val="24"/>
        </w:rPr>
        <w:t>proračunu</w:t>
      </w:r>
      <w:proofErr w:type="spellEnd"/>
      <w:r>
        <w:rPr>
          <w:sz w:val="24"/>
        </w:rPr>
        <w:t xml:space="preserve"> („</w:t>
      </w:r>
      <w:proofErr w:type="spellStart"/>
      <w:r>
        <w:rPr>
          <w:sz w:val="24"/>
        </w:rPr>
        <w:t>Narodne</w:t>
      </w:r>
      <w:proofErr w:type="spellEnd"/>
      <w:r>
        <w:rPr>
          <w:sz w:val="24"/>
        </w:rPr>
        <w:t xml:space="preserve"> </w:t>
      </w:r>
      <w:proofErr w:type="spellStart"/>
      <w:r>
        <w:rPr>
          <w:sz w:val="24"/>
        </w:rPr>
        <w:t>novine</w:t>
      </w:r>
      <w:proofErr w:type="spellEnd"/>
      <w:r>
        <w:rPr>
          <w:sz w:val="24"/>
        </w:rPr>
        <w:t xml:space="preserve">“, </w:t>
      </w:r>
      <w:proofErr w:type="spellStart"/>
      <w:r>
        <w:rPr>
          <w:sz w:val="24"/>
        </w:rPr>
        <w:t>broj</w:t>
      </w:r>
      <w:proofErr w:type="spellEnd"/>
      <w:r>
        <w:rPr>
          <w:sz w:val="24"/>
        </w:rPr>
        <w:t xml:space="preserve"> 144/21), </w:t>
      </w:r>
      <w:proofErr w:type="spellStart"/>
      <w:r>
        <w:rPr>
          <w:sz w:val="24"/>
        </w:rPr>
        <w:t>predlaže</w:t>
      </w:r>
      <w:proofErr w:type="spellEnd"/>
      <w:r>
        <w:rPr>
          <w:sz w:val="24"/>
        </w:rPr>
        <w:t xml:space="preserve"> se </w:t>
      </w:r>
      <w:proofErr w:type="spellStart"/>
      <w:r>
        <w:rPr>
          <w:sz w:val="24"/>
        </w:rPr>
        <w:t>donošenje</w:t>
      </w:r>
      <w:proofErr w:type="spellEnd"/>
      <w:r>
        <w:rPr>
          <w:sz w:val="24"/>
        </w:rPr>
        <w:t xml:space="preserve"> I </w:t>
      </w:r>
      <w:proofErr w:type="spellStart"/>
      <w:r>
        <w:rPr>
          <w:sz w:val="24"/>
        </w:rPr>
        <w:t>izmjena</w:t>
      </w:r>
      <w:proofErr w:type="spellEnd"/>
      <w:r>
        <w:rPr>
          <w:sz w:val="24"/>
        </w:rPr>
        <w:t xml:space="preserve"> </w:t>
      </w:r>
      <w:proofErr w:type="spellStart"/>
      <w:r>
        <w:rPr>
          <w:sz w:val="24"/>
        </w:rPr>
        <w:t>i</w:t>
      </w:r>
      <w:proofErr w:type="spellEnd"/>
      <w:r>
        <w:rPr>
          <w:sz w:val="24"/>
        </w:rPr>
        <w:t xml:space="preserve"> </w:t>
      </w:r>
      <w:proofErr w:type="spellStart"/>
      <w:r>
        <w:rPr>
          <w:sz w:val="24"/>
        </w:rPr>
        <w:t>dopuna</w:t>
      </w:r>
      <w:proofErr w:type="spellEnd"/>
      <w:r>
        <w:rPr>
          <w:sz w:val="24"/>
        </w:rPr>
        <w:t xml:space="preserve"> </w:t>
      </w:r>
      <w:proofErr w:type="spellStart"/>
      <w:r>
        <w:rPr>
          <w:sz w:val="24"/>
        </w:rPr>
        <w:t>Proračuna</w:t>
      </w:r>
      <w:proofErr w:type="spellEnd"/>
      <w:r>
        <w:rPr>
          <w:sz w:val="24"/>
        </w:rPr>
        <w:t xml:space="preserve"> </w:t>
      </w:r>
      <w:proofErr w:type="spellStart"/>
      <w:r>
        <w:rPr>
          <w:sz w:val="24"/>
        </w:rPr>
        <w:t>Općine</w:t>
      </w:r>
      <w:proofErr w:type="spellEnd"/>
      <w:r>
        <w:rPr>
          <w:sz w:val="24"/>
        </w:rPr>
        <w:t xml:space="preserve"> </w:t>
      </w:r>
      <w:proofErr w:type="spellStart"/>
      <w:r>
        <w:rPr>
          <w:sz w:val="24"/>
        </w:rPr>
        <w:t>Pokupsko</w:t>
      </w:r>
      <w:proofErr w:type="spellEnd"/>
      <w:r>
        <w:rPr>
          <w:sz w:val="24"/>
        </w:rPr>
        <w:t xml:space="preserve"> </w:t>
      </w:r>
      <w:proofErr w:type="spellStart"/>
      <w:r>
        <w:rPr>
          <w:sz w:val="24"/>
        </w:rPr>
        <w:t>za</w:t>
      </w:r>
      <w:proofErr w:type="spellEnd"/>
      <w:r>
        <w:rPr>
          <w:sz w:val="24"/>
        </w:rPr>
        <w:t xml:space="preserve"> 2025.g.</w:t>
      </w:r>
    </w:p>
    <w:p>
      <w:pPr>
        <w:rPr>
          <w:sz w:val="24"/>
        </w:rPr>
      </w:pPr>
    </w:p>
    <w:p>
      <w:pPr>
        <w:rPr>
          <w:sz w:val="24"/>
        </w:rPr>
      </w:pPr>
    </w:p>
    <w:p>
      <w:pPr>
        <w:rPr>
          <w:sz w:val="24"/>
        </w:rPr>
      </w:pPr>
      <w:proofErr w:type="spellStart"/>
      <w:r>
        <w:rPr>
          <w:sz w:val="24"/>
        </w:rPr>
        <w:t>Pravilnikom</w:t>
      </w:r>
      <w:proofErr w:type="spellEnd"/>
      <w:r>
        <w:rPr>
          <w:sz w:val="24"/>
        </w:rPr>
        <w:t xml:space="preserve"> o </w:t>
      </w:r>
      <w:proofErr w:type="spellStart"/>
      <w:r>
        <w:rPr>
          <w:sz w:val="24"/>
        </w:rPr>
        <w:t>planiranju</w:t>
      </w:r>
      <w:proofErr w:type="spellEnd"/>
      <w:r>
        <w:rPr>
          <w:sz w:val="24"/>
        </w:rPr>
        <w:t xml:space="preserve"> u </w:t>
      </w:r>
      <w:proofErr w:type="spellStart"/>
      <w:r>
        <w:rPr>
          <w:sz w:val="24"/>
        </w:rPr>
        <w:t>sustavu</w:t>
      </w:r>
      <w:proofErr w:type="spellEnd"/>
      <w:r>
        <w:rPr>
          <w:sz w:val="24"/>
        </w:rPr>
        <w:t xml:space="preserve"> </w:t>
      </w:r>
      <w:proofErr w:type="spellStart"/>
      <w:r>
        <w:rPr>
          <w:sz w:val="24"/>
        </w:rPr>
        <w:t>proračuna</w:t>
      </w:r>
      <w:proofErr w:type="spellEnd"/>
      <w:r>
        <w:rPr>
          <w:sz w:val="24"/>
        </w:rPr>
        <w:t xml:space="preserve"> (NN 1/2024) </w:t>
      </w:r>
      <w:proofErr w:type="spellStart"/>
      <w:r>
        <w:rPr>
          <w:sz w:val="24"/>
        </w:rPr>
        <w:t>člankom</w:t>
      </w:r>
      <w:proofErr w:type="spellEnd"/>
      <w:r>
        <w:rPr>
          <w:sz w:val="24"/>
        </w:rPr>
        <w:t xml:space="preserve"> 24. </w:t>
      </w:r>
      <w:proofErr w:type="spellStart"/>
      <w:proofErr w:type="gramStart"/>
      <w:r>
        <w:rPr>
          <w:sz w:val="24"/>
        </w:rPr>
        <w:t>i</w:t>
      </w:r>
      <w:proofErr w:type="spellEnd"/>
      <w:proofErr w:type="gramEnd"/>
      <w:r>
        <w:rPr>
          <w:sz w:val="24"/>
        </w:rPr>
        <w:t xml:space="preserve"> 27. </w:t>
      </w:r>
      <w:proofErr w:type="spellStart"/>
      <w:proofErr w:type="gramStart"/>
      <w:r>
        <w:rPr>
          <w:sz w:val="24"/>
        </w:rPr>
        <w:t>propisan</w:t>
      </w:r>
      <w:proofErr w:type="spellEnd"/>
      <w:proofErr w:type="gramEnd"/>
      <w:r>
        <w:rPr>
          <w:sz w:val="24"/>
        </w:rPr>
        <w:t xml:space="preserve"> je </w:t>
      </w:r>
      <w:proofErr w:type="spellStart"/>
      <w:r>
        <w:rPr>
          <w:sz w:val="24"/>
        </w:rPr>
        <w:t>sadržaj</w:t>
      </w:r>
      <w:proofErr w:type="spellEnd"/>
      <w:r>
        <w:rPr>
          <w:sz w:val="24"/>
        </w:rPr>
        <w:t xml:space="preserve"> </w:t>
      </w:r>
      <w:proofErr w:type="spellStart"/>
      <w:r>
        <w:rPr>
          <w:sz w:val="24"/>
        </w:rPr>
        <w:t>i</w:t>
      </w:r>
      <w:proofErr w:type="spellEnd"/>
      <w:r>
        <w:rPr>
          <w:sz w:val="24"/>
        </w:rPr>
        <w:t xml:space="preserve"> </w:t>
      </w:r>
      <w:proofErr w:type="spellStart"/>
      <w:r>
        <w:rPr>
          <w:sz w:val="24"/>
        </w:rPr>
        <w:t>izgled</w:t>
      </w:r>
      <w:proofErr w:type="spellEnd"/>
      <w:r>
        <w:rPr>
          <w:sz w:val="24"/>
        </w:rPr>
        <w:t xml:space="preserve"> </w:t>
      </w:r>
      <w:proofErr w:type="spellStart"/>
      <w:r>
        <w:rPr>
          <w:sz w:val="24"/>
        </w:rPr>
        <w:t>rebalansa</w:t>
      </w:r>
      <w:proofErr w:type="spellEnd"/>
      <w:r>
        <w:rPr>
          <w:sz w:val="24"/>
        </w:rPr>
        <w:t xml:space="preserve">. </w:t>
      </w:r>
    </w:p>
    <w:p>
      <w:pPr>
        <w:rPr>
          <w:sz w:val="24"/>
        </w:rPr>
      </w:pPr>
    </w:p>
    <w:p>
      <w:pPr>
        <w:rPr>
          <w:sz w:val="24"/>
          <w:szCs w:val="24"/>
          <w:shd w:val="clear" w:color="auto" w:fill="FFFFFF"/>
        </w:rPr>
      </w:pPr>
      <w:proofErr w:type="spellStart"/>
      <w:r>
        <w:rPr>
          <w:sz w:val="24"/>
          <w:szCs w:val="24"/>
          <w:shd w:val="clear" w:color="auto" w:fill="FFFFFF"/>
        </w:rPr>
        <w:t>Rebalans</w:t>
      </w:r>
      <w:proofErr w:type="spellEnd"/>
      <w:r>
        <w:rPr>
          <w:sz w:val="24"/>
          <w:szCs w:val="24"/>
          <w:shd w:val="clear" w:color="auto" w:fill="FFFFFF"/>
        </w:rPr>
        <w:t xml:space="preserve"> </w:t>
      </w:r>
      <w:proofErr w:type="spellStart"/>
      <w:r>
        <w:rPr>
          <w:sz w:val="24"/>
          <w:szCs w:val="24"/>
          <w:shd w:val="clear" w:color="auto" w:fill="FFFFFF"/>
        </w:rPr>
        <w:t>sadrži</w:t>
      </w:r>
      <w:proofErr w:type="spellEnd"/>
      <w:r>
        <w:rPr>
          <w:sz w:val="24"/>
          <w:szCs w:val="24"/>
          <w:shd w:val="clear" w:color="auto" w:fill="FFFFFF"/>
        </w:rPr>
        <w:t xml:space="preserve"> </w:t>
      </w:r>
      <w:proofErr w:type="spellStart"/>
      <w:r>
        <w:rPr>
          <w:sz w:val="24"/>
          <w:szCs w:val="24"/>
          <w:shd w:val="clear" w:color="auto" w:fill="FFFFFF"/>
        </w:rPr>
        <w:t>opći</w:t>
      </w:r>
      <w:proofErr w:type="spellEnd"/>
      <w:r>
        <w:rPr>
          <w:sz w:val="24"/>
          <w:szCs w:val="24"/>
          <w:shd w:val="clear" w:color="auto" w:fill="FFFFFF"/>
        </w:rPr>
        <w:t xml:space="preserve"> </w:t>
      </w:r>
      <w:proofErr w:type="spellStart"/>
      <w:r>
        <w:rPr>
          <w:sz w:val="24"/>
          <w:szCs w:val="24"/>
          <w:shd w:val="clear" w:color="auto" w:fill="FFFFFF"/>
        </w:rPr>
        <w:t>i</w:t>
      </w:r>
      <w:proofErr w:type="spellEnd"/>
      <w:r>
        <w:rPr>
          <w:sz w:val="24"/>
          <w:szCs w:val="24"/>
          <w:shd w:val="clear" w:color="auto" w:fill="FFFFFF"/>
        </w:rPr>
        <w:t xml:space="preserve"> </w:t>
      </w:r>
      <w:proofErr w:type="spellStart"/>
      <w:r>
        <w:rPr>
          <w:sz w:val="24"/>
          <w:szCs w:val="24"/>
          <w:shd w:val="clear" w:color="auto" w:fill="FFFFFF"/>
        </w:rPr>
        <w:t>posebni</w:t>
      </w:r>
      <w:proofErr w:type="spellEnd"/>
      <w:r>
        <w:rPr>
          <w:sz w:val="24"/>
          <w:szCs w:val="24"/>
          <w:shd w:val="clear" w:color="auto" w:fill="FFFFFF"/>
        </w:rPr>
        <w:t xml:space="preserve"> </w:t>
      </w:r>
      <w:proofErr w:type="spellStart"/>
      <w:r>
        <w:rPr>
          <w:sz w:val="24"/>
          <w:szCs w:val="24"/>
          <w:shd w:val="clear" w:color="auto" w:fill="FFFFFF"/>
        </w:rPr>
        <w:t>dio</w:t>
      </w:r>
      <w:proofErr w:type="spellEnd"/>
      <w:r>
        <w:rPr>
          <w:sz w:val="24"/>
          <w:szCs w:val="24"/>
          <w:shd w:val="clear" w:color="auto" w:fill="FFFFFF"/>
        </w:rPr>
        <w:t xml:space="preserve"> </w:t>
      </w:r>
      <w:proofErr w:type="spellStart"/>
      <w:r>
        <w:rPr>
          <w:sz w:val="24"/>
          <w:szCs w:val="24"/>
          <w:shd w:val="clear" w:color="auto" w:fill="FFFFFF"/>
        </w:rPr>
        <w:t>i</w:t>
      </w:r>
      <w:proofErr w:type="spellEnd"/>
      <w:r>
        <w:rPr>
          <w:sz w:val="24"/>
          <w:szCs w:val="24"/>
          <w:shd w:val="clear" w:color="auto" w:fill="FFFFFF"/>
        </w:rPr>
        <w:t xml:space="preserve"> </w:t>
      </w:r>
      <w:proofErr w:type="spellStart"/>
      <w:r>
        <w:rPr>
          <w:sz w:val="24"/>
          <w:szCs w:val="24"/>
          <w:shd w:val="clear" w:color="auto" w:fill="FFFFFF"/>
        </w:rPr>
        <w:t>obrazloženje</w:t>
      </w:r>
      <w:proofErr w:type="spellEnd"/>
      <w:r>
        <w:rPr>
          <w:sz w:val="24"/>
          <w:szCs w:val="24"/>
          <w:shd w:val="clear" w:color="auto" w:fill="FFFFFF"/>
        </w:rPr>
        <w:t xml:space="preserve"> </w:t>
      </w:r>
      <w:proofErr w:type="spellStart"/>
      <w:r>
        <w:rPr>
          <w:sz w:val="24"/>
          <w:szCs w:val="24"/>
          <w:shd w:val="clear" w:color="auto" w:fill="FFFFFF"/>
        </w:rPr>
        <w:t>općeg</w:t>
      </w:r>
      <w:proofErr w:type="spellEnd"/>
      <w:r>
        <w:rPr>
          <w:sz w:val="24"/>
          <w:szCs w:val="24"/>
          <w:shd w:val="clear" w:color="auto" w:fill="FFFFFF"/>
        </w:rPr>
        <w:t xml:space="preserve"> </w:t>
      </w:r>
      <w:proofErr w:type="spellStart"/>
      <w:r>
        <w:rPr>
          <w:sz w:val="24"/>
          <w:szCs w:val="24"/>
          <w:shd w:val="clear" w:color="auto" w:fill="FFFFFF"/>
        </w:rPr>
        <w:t>dijela</w:t>
      </w:r>
      <w:proofErr w:type="spellEnd"/>
    </w:p>
    <w:p>
      <w:pPr>
        <w:rPr>
          <w:sz w:val="24"/>
          <w:szCs w:val="24"/>
          <w:shd w:val="clear" w:color="auto" w:fill="FFFFFF"/>
        </w:rPr>
      </w:pPr>
    </w:p>
    <w:p>
      <w:pPr>
        <w:pStyle w:val="box475999"/>
        <w:shd w:val="clear" w:color="auto" w:fill="FFFFFF"/>
        <w:spacing w:before="0" w:beforeAutospacing="0" w:after="48" w:afterAutospacing="0"/>
        <w:ind w:firstLine="408"/>
        <w:textAlignment w:val="baseline"/>
        <w:rPr>
          <w:rFonts w:ascii="Arial" w:hAnsi="Arial" w:cs="Arial"/>
        </w:rPr>
      </w:pPr>
      <w:r>
        <w:rPr>
          <w:rFonts w:ascii="Arial" w:hAnsi="Arial" w:cs="Arial"/>
        </w:rPr>
        <w:t>Obrazloženje općeg dijela rebalansa jedinica lokalne i područne (regionalne) samouprave sadrži obrazloženje:</w:t>
      </w:r>
    </w:p>
    <w:p>
      <w:pPr>
        <w:pStyle w:val="box475999"/>
        <w:shd w:val="clear" w:color="auto" w:fill="FFFFFF"/>
        <w:spacing w:before="0" w:beforeAutospacing="0" w:after="48" w:afterAutospacing="0"/>
        <w:ind w:firstLine="408"/>
        <w:textAlignment w:val="baseline"/>
        <w:rPr>
          <w:rFonts w:ascii="Arial" w:hAnsi="Arial" w:cs="Arial"/>
        </w:rPr>
      </w:pPr>
      <w:r>
        <w:rPr>
          <w:rFonts w:ascii="Arial" w:hAnsi="Arial" w:cs="Arial"/>
        </w:rPr>
        <w:t>− prihoda i rashoda, primitaka i izdataka proračuna jedinica lokalne i područne (regionalne) samouprave i</w:t>
      </w:r>
    </w:p>
    <w:p>
      <w:pPr>
        <w:pStyle w:val="box475999"/>
        <w:shd w:val="clear" w:color="auto" w:fill="FFFFFF"/>
        <w:spacing w:before="0" w:beforeAutospacing="0" w:after="48" w:afterAutospacing="0"/>
        <w:ind w:firstLine="408"/>
        <w:textAlignment w:val="baseline"/>
        <w:rPr>
          <w:rFonts w:ascii="Arial" w:hAnsi="Arial" w:cs="Arial"/>
        </w:rPr>
      </w:pPr>
      <w:r>
        <w:rPr>
          <w:rFonts w:ascii="Arial" w:hAnsi="Arial" w:cs="Arial"/>
        </w:rPr>
        <w:t>− prenesenog manjka odnosno viška proračuna jedinica lokalne i područne (regionalne) samouprave.</w:t>
      </w:r>
    </w:p>
    <w:p>
      <w:pPr>
        <w:pStyle w:val="box475999"/>
        <w:shd w:val="clear" w:color="auto" w:fill="FFFFFF"/>
        <w:spacing w:before="0" w:beforeAutospacing="0" w:after="48" w:afterAutospacing="0"/>
        <w:textAlignment w:val="baseline"/>
        <w:rPr>
          <w:rFonts w:ascii="Arial" w:hAnsi="Arial" w:cs="Arial"/>
        </w:rPr>
      </w:pPr>
    </w:p>
    <w:p>
      <w:pPr>
        <w:pStyle w:val="box475999"/>
        <w:shd w:val="clear" w:color="auto" w:fill="FFFFFF"/>
        <w:spacing w:before="0" w:beforeAutospacing="0" w:after="48" w:afterAutospacing="0"/>
        <w:textAlignment w:val="baseline"/>
        <w:rPr>
          <w:rFonts w:ascii="Arial" w:hAnsi="Arial" w:cs="Arial"/>
        </w:rPr>
      </w:pPr>
    </w:p>
    <w:p>
      <w:pPr>
        <w:pStyle w:val="box475999"/>
        <w:shd w:val="clear" w:color="auto" w:fill="FFFFFF"/>
        <w:spacing w:before="0" w:beforeAutospacing="0" w:after="48" w:afterAutospacing="0"/>
        <w:textAlignment w:val="baseline"/>
        <w:rPr>
          <w:rFonts w:ascii="Arial" w:hAnsi="Arial" w:cs="Arial"/>
        </w:rPr>
      </w:pPr>
      <w:r>
        <w:rPr>
          <w:rFonts w:ascii="Arial" w:hAnsi="Arial" w:cs="Arial"/>
        </w:rPr>
        <w:t>OBRAZLOŽENJE OPĆEG DIJELA PRORAČUNA</w:t>
      </w:r>
    </w:p>
    <w:p>
      <w:pPr>
        <w:pStyle w:val="box475999"/>
        <w:shd w:val="clear" w:color="auto" w:fill="FFFFFF"/>
        <w:spacing w:before="0" w:beforeAutospacing="0" w:after="48" w:afterAutospacing="0"/>
        <w:textAlignment w:val="baseline"/>
        <w:rPr>
          <w:rFonts w:ascii="Arial" w:hAnsi="Arial" w:cs="Arial"/>
        </w:rPr>
      </w:pPr>
    </w:p>
    <w:p>
      <w:pPr>
        <w:pStyle w:val="box475999"/>
        <w:shd w:val="clear" w:color="auto" w:fill="FFFFFF"/>
        <w:spacing w:before="0" w:beforeAutospacing="0" w:after="48" w:afterAutospacing="0"/>
        <w:textAlignment w:val="baseline"/>
        <w:rPr>
          <w:rFonts w:ascii="Arial" w:hAnsi="Arial" w:cs="Arial"/>
        </w:rPr>
      </w:pPr>
      <w:r>
        <w:rPr>
          <w:rFonts w:ascii="Arial" w:hAnsi="Arial" w:cs="Arial"/>
        </w:rPr>
        <w:t>Ukupni prihodi i primici planirani su u iznosu od 4.455.334,09 eura što je smanjenje za 62.981,13 eura u odnosu na izvorni plan. Rashodi i izdaci planirani su u iznosu od 4.496.443,58 eura što je 10.534,88 eura više u odnosu na izvorni plan. Planiran je i preneseni višak poslovanja koji iznosi 41.109,49 eura.</w:t>
      </w:r>
    </w:p>
    <w:p>
      <w:pPr>
        <w:pStyle w:val="box475999"/>
        <w:shd w:val="clear" w:color="auto" w:fill="FFFFFF"/>
        <w:spacing w:before="0" w:beforeAutospacing="0" w:after="48" w:afterAutospacing="0"/>
        <w:textAlignment w:val="baseline"/>
        <w:rPr>
          <w:rFonts w:ascii="Arial" w:hAnsi="Arial" w:cs="Arial"/>
        </w:rPr>
      </w:pPr>
    </w:p>
    <w:p>
      <w:pPr>
        <w:pStyle w:val="box475999"/>
        <w:shd w:val="clear" w:color="auto" w:fill="FFFFFF"/>
        <w:spacing w:before="0" w:beforeAutospacing="0" w:after="48" w:afterAutospacing="0"/>
        <w:textAlignment w:val="baseline"/>
        <w:rPr>
          <w:rFonts w:ascii="Arial" w:hAnsi="Arial" w:cs="Arial"/>
          <w:u w:val="single"/>
        </w:rPr>
      </w:pPr>
      <w:r>
        <w:rPr>
          <w:rFonts w:ascii="Arial" w:hAnsi="Arial" w:cs="Arial"/>
          <w:u w:val="single"/>
        </w:rPr>
        <w:t>Prihodi</w:t>
      </w:r>
    </w:p>
    <w:p>
      <w:pPr>
        <w:jc w:val="both"/>
        <w:rPr>
          <w:sz w:val="24"/>
          <w:szCs w:val="24"/>
          <w:lang w:val="hr-HR"/>
        </w:rPr>
      </w:pPr>
      <w:r>
        <w:rPr>
          <w:sz w:val="24"/>
          <w:szCs w:val="24"/>
        </w:rPr>
        <w:t xml:space="preserve">Prihodi </w:t>
      </w:r>
      <w:proofErr w:type="gramStart"/>
      <w:r>
        <w:rPr>
          <w:sz w:val="24"/>
          <w:szCs w:val="24"/>
        </w:rPr>
        <w:t>od</w:t>
      </w:r>
      <w:proofErr w:type="gramEnd"/>
      <w:r>
        <w:rPr>
          <w:sz w:val="24"/>
          <w:szCs w:val="24"/>
        </w:rPr>
        <w:t xml:space="preserve"> poreza (skupina 61) </w:t>
      </w:r>
      <w:r>
        <w:rPr>
          <w:sz w:val="24"/>
          <w:szCs w:val="24"/>
          <w:lang w:val="hr-HR"/>
        </w:rPr>
        <w:t xml:space="preserve">odnose se na porez na dohodak od nesamostalnog rada, samostalnih djelatnosti, imovine i imovinskih prava i kapitala, porez na kuće za </w:t>
      </w:r>
    </w:p>
    <w:p>
      <w:pPr>
        <w:pStyle w:val="box475999"/>
        <w:shd w:val="clear" w:color="auto" w:fill="FFFFFF"/>
        <w:spacing w:before="0" w:beforeAutospacing="0" w:after="48" w:afterAutospacing="0"/>
        <w:textAlignment w:val="baseline"/>
        <w:rPr>
          <w:rFonts w:ascii="Arial" w:hAnsi="Arial" w:cs="Arial"/>
        </w:rPr>
      </w:pPr>
      <w:r>
        <w:rPr>
          <w:rFonts w:ascii="Arial" w:hAnsi="Arial" w:cs="Arial"/>
        </w:rPr>
        <w:t>odmor, porez na nekretnine, porez na promet nekretnina, porez na tvrtku, te ostale neraspoređene prihode od poreza i povećavaju se za 43.084,87 eura.</w:t>
      </w:r>
    </w:p>
    <w:p>
      <w:pPr>
        <w:pStyle w:val="box475999"/>
        <w:shd w:val="clear" w:color="auto" w:fill="FFFFFF"/>
        <w:spacing w:before="0" w:beforeAutospacing="0" w:after="48" w:afterAutospacing="0"/>
        <w:textAlignment w:val="baseline"/>
        <w:rPr>
          <w:rFonts w:ascii="Arial" w:hAnsi="Arial" w:cs="Arial"/>
        </w:rPr>
      </w:pPr>
    </w:p>
    <w:p>
      <w:pPr>
        <w:pStyle w:val="NormalWeb"/>
        <w:rPr>
          <w:rFonts w:ascii="Arial" w:hAnsi="Arial" w:cs="Arial"/>
          <w:b/>
        </w:rPr>
      </w:pPr>
      <w:r>
        <w:rPr>
          <w:rStyle w:val="Strong"/>
          <w:rFonts w:ascii="Arial" w:hAnsi="Arial" w:cs="Arial"/>
          <w:b w:val="0"/>
        </w:rPr>
        <w:t>Prihodi iz pomoći iz inozemstva i od subjekata unutar općeg proračuna (skupina 63) smanjuju se za ukupno 119.066,00 eura.</w:t>
      </w:r>
      <w:r>
        <w:rPr>
          <w:rFonts w:ascii="Arial" w:hAnsi="Arial" w:cs="Arial"/>
          <w:b/>
        </w:rPr>
        <w:br/>
      </w:r>
      <w:r>
        <w:rPr>
          <w:rFonts w:ascii="Arial" w:hAnsi="Arial" w:cs="Arial"/>
        </w:rPr>
        <w:t>Najveći dio tog smanjenja odnosi se na:</w:t>
      </w:r>
    </w:p>
    <w:p>
      <w:pPr>
        <w:pStyle w:val="NormalWeb"/>
        <w:numPr>
          <w:ilvl w:val="0"/>
          <w:numId w:val="1"/>
        </w:numPr>
        <w:rPr>
          <w:rFonts w:ascii="Arial" w:hAnsi="Arial" w:cs="Arial"/>
        </w:rPr>
      </w:pPr>
      <w:r>
        <w:rPr>
          <w:rStyle w:val="Strong"/>
          <w:rFonts w:ascii="Arial" w:hAnsi="Arial" w:cs="Arial"/>
          <w:b w:val="0"/>
        </w:rPr>
        <w:t>80.000,00 eura</w:t>
      </w:r>
      <w:r>
        <w:rPr>
          <w:rFonts w:ascii="Arial" w:hAnsi="Arial" w:cs="Arial"/>
        </w:rPr>
        <w:t xml:space="preserve"> - smanjenje planiranih prihoda za izgradnju vodoopskrbnog sustava zbog odobravanja potpore u manjem iznosu od prijavljenog i planiranog,</w:t>
      </w:r>
    </w:p>
    <w:p>
      <w:pPr>
        <w:pStyle w:val="NormalWeb"/>
        <w:numPr>
          <w:ilvl w:val="0"/>
          <w:numId w:val="1"/>
        </w:numPr>
        <w:rPr>
          <w:rFonts w:ascii="Arial" w:hAnsi="Arial" w:cs="Arial"/>
        </w:rPr>
      </w:pPr>
      <w:r>
        <w:rPr>
          <w:rStyle w:val="Strong"/>
          <w:rFonts w:ascii="Arial" w:hAnsi="Arial" w:cs="Arial"/>
          <w:b w:val="0"/>
        </w:rPr>
        <w:t xml:space="preserve">27.700,00 eura - </w:t>
      </w:r>
      <w:r>
        <w:rPr>
          <w:rFonts w:ascii="Arial" w:hAnsi="Arial" w:cs="Arial"/>
        </w:rPr>
        <w:t xml:space="preserve"> smanjenje planiranih prihoda za opremanje društvenih domova zbog odobrenja manjeg iznosa potpore.</w:t>
      </w:r>
    </w:p>
    <w:p>
      <w:pPr>
        <w:pStyle w:val="NormalWeb"/>
        <w:rPr>
          <w:rFonts w:ascii="Arial" w:hAnsi="Arial" w:cs="Arial"/>
        </w:rPr>
      </w:pPr>
      <w:r>
        <w:rPr>
          <w:rFonts w:ascii="Arial" w:hAnsi="Arial" w:cs="Arial"/>
        </w:rPr>
        <w:lastRenderedPageBreak/>
        <w:t>Prihodi od imovine (skupina 64) povećanje u iznosu od 13.000,00 eura, a odnosi se na prihode od zakupa i iznajmljivanja imovine.</w:t>
      </w:r>
    </w:p>
    <w:p>
      <w:pPr>
        <w:pStyle w:val="NormalWeb"/>
        <w:rPr>
          <w:rFonts w:ascii="Arial" w:hAnsi="Arial" w:cs="Arial"/>
        </w:rPr>
      </w:pPr>
      <w:r>
        <w:rPr>
          <w:rFonts w:ascii="Arial" w:hAnsi="Arial" w:cs="Arial"/>
        </w:rPr>
        <w:t>Prihodi od upravnih i administrativnih pristojbi, pristojbi po posebnim propisima (skupina 65) nije bilo promjene u odnosu na izvorni plan.</w:t>
      </w:r>
    </w:p>
    <w:p>
      <w:pPr>
        <w:pStyle w:val="NormalWeb"/>
        <w:rPr>
          <w:rFonts w:ascii="Arial" w:hAnsi="Arial" w:cs="Arial"/>
          <w:u w:val="single"/>
        </w:rPr>
      </w:pPr>
      <w:r>
        <w:rPr>
          <w:rFonts w:ascii="Arial" w:hAnsi="Arial" w:cs="Arial"/>
          <w:u w:val="single"/>
        </w:rPr>
        <w:t>Rashodi</w:t>
      </w:r>
    </w:p>
    <w:p>
      <w:pPr>
        <w:pStyle w:val="NormalWeb"/>
        <w:rPr>
          <w:rFonts w:ascii="Arial" w:hAnsi="Arial" w:cs="Arial"/>
        </w:rPr>
      </w:pPr>
      <w:r>
        <w:rPr>
          <w:rFonts w:ascii="Arial" w:hAnsi="Arial" w:cs="Arial"/>
        </w:rPr>
        <w:t>Rashodi za zaposlene (skupina 31) nije bilo promjena u odnosu na izvorni plan.</w:t>
      </w:r>
    </w:p>
    <w:p>
      <w:pPr>
        <w:pStyle w:val="NormalWeb"/>
        <w:rPr>
          <w:rFonts w:ascii="Arial" w:hAnsi="Arial" w:cs="Arial"/>
        </w:rPr>
      </w:pPr>
      <w:r>
        <w:rPr>
          <w:rFonts w:ascii="Arial" w:hAnsi="Arial" w:cs="Arial"/>
        </w:rPr>
        <w:t xml:space="preserve">Materijalni rashodi (skupina 32) nakon korekcija izvornog plana, ukupno povećanje iznosi 63.400,00 eura. Povećani su materijalni rashodi za provedbu izbora u iznosu od 6.000,00 eura (navedeni rashodi se odnose na troškove povjerenstva, biračkih odbora, najam objekata, domara, objavu kandidacijskih lista, kutije, glasačke listiće), za 5.000,00 eura su povećani rashodi za zbrinjavanje životinja i uklanjanje lešina, za 42.000,00 povećani su rashodi za nabavu oznaka za ulice, za 15.000,00 eura povećavaju se materijalni rashodi za redovno održavanje poljskih i šumskih puteva, 12.000,00 eura više iznose i materijalni rashodi za redovno održavanje javne rasvjete, za održavanje i popravke postrojenja toplane i </w:t>
      </w:r>
      <w:proofErr w:type="spellStart"/>
      <w:r>
        <w:rPr>
          <w:rFonts w:ascii="Arial" w:hAnsi="Arial" w:cs="Arial"/>
        </w:rPr>
        <w:t>toplovoda</w:t>
      </w:r>
      <w:proofErr w:type="spellEnd"/>
      <w:r>
        <w:rPr>
          <w:rFonts w:ascii="Arial" w:hAnsi="Arial" w:cs="Arial"/>
        </w:rPr>
        <w:t xml:space="preserve"> povećavaju se rashodi za 21.000,00 eura, za DVD dom Pokupsko povećavaju se materijalni rashodi za 6.000,00 eura za redovno poslovanje. Rashodi kod DK Pokupski </w:t>
      </w:r>
      <w:proofErr w:type="spellStart"/>
      <w:r>
        <w:rPr>
          <w:rFonts w:ascii="Arial" w:hAnsi="Arial" w:cs="Arial"/>
        </w:rPr>
        <w:t>Gladovec</w:t>
      </w:r>
      <w:proofErr w:type="spellEnd"/>
      <w:r>
        <w:rPr>
          <w:rFonts w:ascii="Arial" w:hAnsi="Arial" w:cs="Arial"/>
        </w:rPr>
        <w:t xml:space="preserve"> povećavaju se za 12.000,00 eura, a odnose se na troškove projektiranja i geodezije, te ovisne troškove otkupa zemljišta i objekata. Povećanje materijalnih rashoda za 10.000,00 eura za Dom za starije i nemoćne Pokupsko za izradu tehničkog (geotehničkog) elaborata koji je potreban za prijavu na natječaj.</w:t>
      </w:r>
    </w:p>
    <w:p>
      <w:pPr>
        <w:pStyle w:val="NormalWeb"/>
        <w:rPr>
          <w:rFonts w:ascii="Arial" w:hAnsi="Arial" w:cs="Arial"/>
        </w:rPr>
      </w:pPr>
      <w:r>
        <w:rPr>
          <w:rFonts w:ascii="Arial" w:hAnsi="Arial" w:cs="Arial"/>
        </w:rPr>
        <w:t>Financijski rashodi (skupina 34) smanjenje u iznosu od 20.000,00 eura u odnosu na izvorni plan.</w:t>
      </w:r>
    </w:p>
    <w:p>
      <w:pPr>
        <w:pStyle w:val="NormalWeb"/>
        <w:rPr>
          <w:rFonts w:ascii="Arial" w:hAnsi="Arial" w:cs="Arial"/>
        </w:rPr>
      </w:pPr>
      <w:r>
        <w:rPr>
          <w:rFonts w:ascii="Arial" w:hAnsi="Arial" w:cs="Arial"/>
        </w:rPr>
        <w:t>Subvencije (skupina 35) povećanje za 14.601,88 eura, a odnosi se na povećanje rashoda za provođenje predškolskog odgoja koji se financiraju iz pomoći.</w:t>
      </w:r>
    </w:p>
    <w:p>
      <w:pPr>
        <w:autoSpaceDE/>
        <w:autoSpaceDN/>
        <w:adjustRightInd/>
        <w:rPr>
          <w:sz w:val="24"/>
          <w:lang w:val="hr-HR"/>
        </w:rPr>
      </w:pPr>
      <w:r>
        <w:rPr>
          <w:sz w:val="24"/>
          <w:lang w:val="hr-HR"/>
        </w:rPr>
        <w:t>Naknade građanima i kućanstvima na temelju osiguranja i druge naknade (skupina 37) povećanje za 28.900,00 eura za provedbu programa Pomoć u kući i isplatu božićnica za umirovljenike.</w:t>
      </w:r>
    </w:p>
    <w:p>
      <w:pPr>
        <w:autoSpaceDE/>
        <w:autoSpaceDN/>
        <w:adjustRightInd/>
        <w:rPr>
          <w:sz w:val="24"/>
          <w:lang w:val="hr-HR"/>
        </w:rPr>
      </w:pPr>
    </w:p>
    <w:p>
      <w:pPr>
        <w:autoSpaceDE/>
        <w:autoSpaceDN/>
        <w:adjustRightInd/>
        <w:rPr>
          <w:sz w:val="24"/>
          <w:szCs w:val="24"/>
        </w:rPr>
      </w:pPr>
      <w:r>
        <w:rPr>
          <w:sz w:val="24"/>
          <w:lang w:val="hr-HR"/>
        </w:rPr>
        <w:t>Rashodi za donacije, kazne, naknade šteta i kapitalne pomoći (skupina 38) smanjenje planiranog iznosa za 88.300,00 eura</w:t>
      </w:r>
      <w:r>
        <w:rPr>
          <w:sz w:val="24"/>
          <w:szCs w:val="24"/>
          <w:lang w:val="hr-HR"/>
        </w:rPr>
        <w:t>. Smanjuju se rashodi planirani za financiranje izborne promidžbe u iznosu od 8.300,00 eura, te rashodi planirani za izgradnju vodoopskrbnog sustava za 80.000,00 eura, jer je dobivena potpora u manjem iznosu od planiranog.</w:t>
      </w:r>
    </w:p>
    <w:p>
      <w:pPr>
        <w:autoSpaceDE/>
        <w:autoSpaceDN/>
        <w:adjustRightInd/>
        <w:rPr>
          <w:sz w:val="24"/>
          <w:lang w:val="hr-HR"/>
        </w:rPr>
      </w:pPr>
    </w:p>
    <w:p>
      <w:pPr>
        <w:autoSpaceDE/>
        <w:autoSpaceDN/>
        <w:adjustRightInd/>
        <w:rPr>
          <w:sz w:val="24"/>
          <w:lang w:val="hr-HR"/>
        </w:rPr>
      </w:pPr>
      <w:r>
        <w:rPr>
          <w:sz w:val="24"/>
          <w:lang w:val="hr-HR"/>
        </w:rPr>
        <w:t xml:space="preserve">Rashodi za nabavu </w:t>
      </w:r>
      <w:proofErr w:type="spellStart"/>
      <w:r>
        <w:rPr>
          <w:sz w:val="24"/>
          <w:lang w:val="hr-HR"/>
        </w:rPr>
        <w:t>neproizvedene</w:t>
      </w:r>
      <w:proofErr w:type="spellEnd"/>
      <w:r>
        <w:rPr>
          <w:sz w:val="24"/>
          <w:lang w:val="hr-HR"/>
        </w:rPr>
        <w:t xml:space="preserve"> dugotrajne imovine (skupina 41) povećanje planiranog iznosa za 8.600,00 eura, a odnosi se na otkup zemljišta pokraj DK Pokupski </w:t>
      </w:r>
      <w:proofErr w:type="spellStart"/>
      <w:r>
        <w:rPr>
          <w:sz w:val="24"/>
          <w:lang w:val="hr-HR"/>
        </w:rPr>
        <w:t>Gladovec</w:t>
      </w:r>
      <w:proofErr w:type="spellEnd"/>
      <w:r>
        <w:rPr>
          <w:sz w:val="24"/>
          <w:lang w:val="hr-HR"/>
        </w:rPr>
        <w:t>.</w:t>
      </w:r>
    </w:p>
    <w:p>
      <w:pPr>
        <w:autoSpaceDE/>
        <w:autoSpaceDN/>
        <w:adjustRightInd/>
        <w:rPr>
          <w:sz w:val="24"/>
          <w:lang w:val="hr-HR"/>
        </w:rPr>
      </w:pPr>
    </w:p>
    <w:p>
      <w:pPr>
        <w:autoSpaceDE/>
        <w:autoSpaceDN/>
        <w:adjustRightInd/>
        <w:rPr>
          <w:sz w:val="24"/>
          <w:lang w:val="hr-HR"/>
        </w:rPr>
      </w:pPr>
      <w:r>
        <w:rPr>
          <w:sz w:val="24"/>
          <w:lang w:val="hr-HR"/>
        </w:rPr>
        <w:t xml:space="preserve">Rashodi za nabavu proizvedene dugotrajne imovine (skupina 42), nakon smanjenja planiranih rashoda za opremanje društvenih domova, izgradnju vatrogasnog spremišta u </w:t>
      </w:r>
      <w:proofErr w:type="spellStart"/>
      <w:r>
        <w:rPr>
          <w:sz w:val="24"/>
          <w:lang w:val="hr-HR"/>
        </w:rPr>
        <w:t>Hotnji</w:t>
      </w:r>
      <w:proofErr w:type="spellEnd"/>
      <w:r>
        <w:rPr>
          <w:sz w:val="24"/>
          <w:lang w:val="hr-HR"/>
        </w:rPr>
        <w:t xml:space="preserve"> i nabave komunalne opreme sukladno dobivenim iznosima potpore, ukupno povećanje rashoda za nabavu proizvedene dugotrajne imovine </w:t>
      </w:r>
      <w:r>
        <w:rPr>
          <w:sz w:val="24"/>
          <w:lang w:val="hr-HR"/>
        </w:rPr>
        <w:lastRenderedPageBreak/>
        <w:t xml:space="preserve">iznosi 5.733,00 eura. Za Rekonstrukciju DVD-a Pokupsko planira se povećanje sredstava iz izvora 5.1. u iznosu od 44.000,00 eura, za iznos predujma i 7.533,00 eura za </w:t>
      </w:r>
      <w:proofErr w:type="spellStart"/>
      <w:r>
        <w:rPr>
          <w:sz w:val="24"/>
          <w:lang w:val="hr-HR"/>
        </w:rPr>
        <w:t>za</w:t>
      </w:r>
      <w:proofErr w:type="spellEnd"/>
      <w:r>
        <w:rPr>
          <w:sz w:val="24"/>
          <w:lang w:val="hr-HR"/>
        </w:rPr>
        <w:t xml:space="preserve"> opremanje dječjih igrališta.</w:t>
      </w:r>
    </w:p>
    <w:p>
      <w:pPr>
        <w:autoSpaceDE/>
        <w:autoSpaceDN/>
        <w:adjustRightInd/>
        <w:rPr>
          <w:sz w:val="24"/>
          <w:lang w:val="hr-HR"/>
        </w:rPr>
      </w:pPr>
    </w:p>
    <w:p>
      <w:pPr>
        <w:autoSpaceDE/>
        <w:autoSpaceDN/>
        <w:adjustRightInd/>
        <w:rPr>
          <w:sz w:val="24"/>
          <w:lang w:val="hr-HR"/>
        </w:rPr>
      </w:pPr>
      <w:r>
        <w:rPr>
          <w:sz w:val="24"/>
          <w:lang w:val="hr-HR"/>
        </w:rPr>
        <w:t xml:space="preserve">Rashodi za dodatna ulaganja na nefinancijskoj imovini (skupina 45) smanjenje za 7.400,00 eura. Smanjenje rashoda u iznosu od 38.000,00 eura odnosi se na sanaciju javnih zgrada oštećenih u potresu , odnosno DK </w:t>
      </w:r>
      <w:proofErr w:type="spellStart"/>
      <w:r>
        <w:rPr>
          <w:sz w:val="24"/>
          <w:lang w:val="hr-HR"/>
        </w:rPr>
        <w:t>Strezojevo</w:t>
      </w:r>
      <w:proofErr w:type="spellEnd"/>
      <w:r>
        <w:rPr>
          <w:sz w:val="24"/>
          <w:lang w:val="hr-HR"/>
        </w:rPr>
        <w:t xml:space="preserve">. Radovi su dovršeni krajem prethodne godine, dok je u tekućoj godini fakturirana samo okončana situacija. Smanjeni su i rashodi u iznosu od 7.600,00 eura planirani za održavanje Zgrade općine jer nisu realizirani planirani prihodi od pomoći, za dodatna ulaganja na društvenom domu u Pokupskom smanjen je iznos za 10.000,00 eura, rashodi za dodatna ulaganja na DK Pokupski </w:t>
      </w:r>
      <w:proofErr w:type="spellStart"/>
      <w:r>
        <w:rPr>
          <w:sz w:val="24"/>
          <w:lang w:val="hr-HR"/>
        </w:rPr>
        <w:t>Gladovec</w:t>
      </w:r>
      <w:proofErr w:type="spellEnd"/>
      <w:r>
        <w:rPr>
          <w:sz w:val="24"/>
          <w:lang w:val="hr-HR"/>
        </w:rPr>
        <w:t xml:space="preserve"> smanjeni su u iznosu od 25.000,00 eura, dok su dodatna ulaganja na dječja igrališta povećana za 13.000,00 eura i ulaganja za groblje Pokupsko za 18.300,00 eura. Planiraju se dodatna ulaganja, odnosno obnova nogometnog igrališta ŠRC Stari Grad u iznosu od 10.000,00 eura.</w:t>
      </w:r>
      <w:bookmarkStart w:id="0" w:name="_GoBack"/>
      <w:bookmarkEnd w:id="0"/>
    </w:p>
    <w:p>
      <w:pPr>
        <w:autoSpaceDE/>
        <w:autoSpaceDN/>
        <w:adjustRightInd/>
        <w:rPr>
          <w:sz w:val="24"/>
          <w:lang w:val="hr-HR"/>
        </w:rPr>
      </w:pPr>
    </w:p>
    <w:p>
      <w:pPr>
        <w:autoSpaceDE/>
        <w:autoSpaceDN/>
        <w:adjustRightInd/>
        <w:rPr>
          <w:sz w:val="24"/>
          <w:lang w:val="hr-HR"/>
        </w:rPr>
      </w:pPr>
      <w:r>
        <w:rPr>
          <w:sz w:val="24"/>
          <w:lang w:val="hr-HR"/>
        </w:rPr>
        <w:t>Izdaci za otplatu glavnice primljenih kredita i zajmova (skupina 54) - planirani izdaci za otplatu glavnice primljenih kredita i zajmova povećavaju se za 5.000,00 eura, a odnose se na I. ratu otplate beskamatnog zajma uslijed pada prihoda dobivenog iz državnog proračuna 2021.godine.</w:t>
      </w:r>
    </w:p>
    <w:p>
      <w:pPr>
        <w:rPr>
          <w:sz w:val="32"/>
        </w:rPr>
      </w:pPr>
    </w:p>
    <w:p>
      <w:pPr>
        <w:rPr>
          <w:sz w:val="22"/>
          <w:lang w:val="hr-HR"/>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30BCC"/>
    <w:multiLevelType w:val="multilevel"/>
    <w:tmpl w:val="7932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3D4F98"/>
    <w:multiLevelType w:val="multilevel"/>
    <w:tmpl w:val="8196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31C97-9B61-4BA1-BD55-B44D90D1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Arial" w:eastAsia="Times New Roman" w:hAnsi="Arial" w:cs="Arial"/>
      <w:sz w:val="20"/>
      <w:szCs w:val="20"/>
      <w:lang w:val="en-US"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75999">
    <w:name w:val="box_475999"/>
    <w:basedOn w:val="Normal"/>
    <w:pPr>
      <w:autoSpaceDE/>
      <w:autoSpaceDN/>
      <w:adjustRightInd/>
      <w:spacing w:before="100" w:beforeAutospacing="1" w:after="100" w:afterAutospacing="1"/>
    </w:pPr>
    <w:rPr>
      <w:rFonts w:ascii="Times New Roman" w:hAnsi="Times New Roman" w:cs="Times New Roman"/>
      <w:sz w:val="24"/>
      <w:szCs w:val="24"/>
      <w:lang w:val="hr-HR"/>
    </w:rPr>
  </w:style>
  <w:style w:type="paragraph" w:customStyle="1" w:styleId="Style15">
    <w:name w:val="Style15"/>
    <w:basedOn w:val="Normal"/>
    <w:uiPriority w:val="99"/>
    <w:pPr>
      <w:widowControl w:val="0"/>
      <w:tabs>
        <w:tab w:val="right" w:pos="16395"/>
      </w:tabs>
    </w:pPr>
  </w:style>
  <w:style w:type="paragraph" w:styleId="NormalWeb">
    <w:name w:val="Normal (Web)"/>
    <w:basedOn w:val="Normal"/>
    <w:uiPriority w:val="99"/>
    <w:unhideWhenUsed/>
    <w:pPr>
      <w:autoSpaceDE/>
      <w:autoSpaceDN/>
      <w:adjustRightInd/>
      <w:spacing w:before="100" w:beforeAutospacing="1" w:after="100" w:afterAutospacing="1"/>
    </w:pPr>
    <w:rPr>
      <w:rFonts w:ascii="Times New Roman" w:hAnsi="Times New Roman" w:cs="Times New Roman"/>
      <w:sz w:val="24"/>
      <w:szCs w:val="24"/>
      <w:lang w:val="hr-HR"/>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490054">
      <w:bodyDiv w:val="1"/>
      <w:marLeft w:val="0"/>
      <w:marRight w:val="0"/>
      <w:marTop w:val="0"/>
      <w:marBottom w:val="0"/>
      <w:divBdr>
        <w:top w:val="none" w:sz="0" w:space="0" w:color="auto"/>
        <w:left w:val="none" w:sz="0" w:space="0" w:color="auto"/>
        <w:bottom w:val="none" w:sz="0" w:space="0" w:color="auto"/>
        <w:right w:val="none" w:sz="0" w:space="0" w:color="auto"/>
      </w:divBdr>
    </w:div>
    <w:div w:id="963729487">
      <w:bodyDiv w:val="1"/>
      <w:marLeft w:val="0"/>
      <w:marRight w:val="0"/>
      <w:marTop w:val="0"/>
      <w:marBottom w:val="0"/>
      <w:divBdr>
        <w:top w:val="none" w:sz="0" w:space="0" w:color="auto"/>
        <w:left w:val="none" w:sz="0" w:space="0" w:color="auto"/>
        <w:bottom w:val="none" w:sz="0" w:space="0" w:color="auto"/>
        <w:right w:val="none" w:sz="0" w:space="0" w:color="auto"/>
      </w:divBdr>
    </w:div>
    <w:div w:id="1018000237">
      <w:bodyDiv w:val="1"/>
      <w:marLeft w:val="0"/>
      <w:marRight w:val="0"/>
      <w:marTop w:val="0"/>
      <w:marBottom w:val="0"/>
      <w:divBdr>
        <w:top w:val="none" w:sz="0" w:space="0" w:color="auto"/>
        <w:left w:val="none" w:sz="0" w:space="0" w:color="auto"/>
        <w:bottom w:val="none" w:sz="0" w:space="0" w:color="auto"/>
        <w:right w:val="none" w:sz="0" w:space="0" w:color="auto"/>
      </w:divBdr>
    </w:div>
    <w:div w:id="1325822222">
      <w:bodyDiv w:val="1"/>
      <w:marLeft w:val="0"/>
      <w:marRight w:val="0"/>
      <w:marTop w:val="0"/>
      <w:marBottom w:val="0"/>
      <w:divBdr>
        <w:top w:val="none" w:sz="0" w:space="0" w:color="auto"/>
        <w:left w:val="none" w:sz="0" w:space="0" w:color="auto"/>
        <w:bottom w:val="none" w:sz="0" w:space="0" w:color="auto"/>
        <w:right w:val="none" w:sz="0" w:space="0" w:color="auto"/>
      </w:divBdr>
    </w:div>
    <w:div w:id="14739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dcterms:created xsi:type="dcterms:W3CDTF">2025-08-19T10:51:00Z</dcterms:created>
  <dcterms:modified xsi:type="dcterms:W3CDTF">2025-09-11T11:19:00Z</dcterms:modified>
</cp:coreProperties>
</file>