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763276914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67. stavak 1. Zakona o komunalnom gospodarstvu (Narodne novine, br. 68/18, 110/18 i 32/20) i članka 33. Statuta Općine Pokupsko (Glasnik Zagrebačke županije, br. 13/21) Općinsko vijeće Općine Pokupsko na svojoj __. sjednici održanoj dana ___2023.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II.IZMJENE I DOPUNE PROGRAMA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GRAĐENJA OBJEKATA I UREĐAJA KOMUNALNE INFRASTRUKTURE 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 OPĆINI POKUPSKO ZA 2023. GODINU</w:t>
      </w:r>
    </w:p>
    <w:p>
      <w:pPr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građenja objekata i uređaja komunalne infrastrukture u Općini Pokupsko za 2023. godinu (Glasnik Zagrebačke županije, </w:t>
      </w:r>
      <w:proofErr w:type="spellStart"/>
      <w:r>
        <w:rPr>
          <w:rFonts w:ascii="Arial" w:hAnsi="Arial" w:cs="Arial"/>
          <w:szCs w:val="24"/>
        </w:rPr>
        <w:t>br</w:t>
      </w:r>
      <w:proofErr w:type="spellEnd"/>
      <w:r>
        <w:rPr>
          <w:rFonts w:ascii="Arial" w:hAnsi="Arial" w:cs="Arial"/>
          <w:szCs w:val="24"/>
        </w:rPr>
        <w:t xml:space="preserve"> 51/22 i 32/23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) (u daljnjem tekstu: Program) mijenja se članak 2. koji izmijenjen glasi: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„Ovim Programom predviđa se građenje slijedećih objekata, odnosno uređaja komunalne infrastrukture na području Općine Pokupsko u 2023. godini: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Građevine komunalne infrastrukture koje će se graditi u uređenim dijelovima građevinskog područja: </w:t>
      </w:r>
    </w:p>
    <w:p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406"/>
        <w:gridCol w:w="1349"/>
        <w:gridCol w:w="1344"/>
        <w:gridCol w:w="1276"/>
        <w:gridCol w:w="1276"/>
      </w:tblGrid>
      <w:tr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/     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2023.(EUR)</w:t>
            </w:r>
          </w:p>
        </w:tc>
        <w:tc>
          <w:tcPr>
            <w:tcW w:w="1344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84"/>
        <w:gridCol w:w="1279"/>
        <w:gridCol w:w="48"/>
        <w:gridCol w:w="1231"/>
        <w:gridCol w:w="96"/>
        <w:gridCol w:w="1183"/>
        <w:gridCol w:w="145"/>
        <w:gridCol w:w="1276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3384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16.590,35</w:t>
            </w:r>
          </w:p>
        </w:tc>
        <w:tc>
          <w:tcPr>
            <w:tcW w:w="1327" w:type="dxa"/>
            <w:gridSpan w:val="2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16.590,35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1.1.1.</w:t>
            </w:r>
          </w:p>
        </w:tc>
        <w:tc>
          <w:tcPr>
            <w:tcW w:w="3384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Lukinić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5.500,00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09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27" w:type="dxa"/>
            <w:gridSpan w:val="2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5.500,00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1.1.2.</w:t>
            </w:r>
          </w:p>
        </w:tc>
        <w:tc>
          <w:tcPr>
            <w:tcW w:w="3384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Stepanci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3.318,07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3.318,07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09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3.318,07</w:t>
            </w:r>
          </w:p>
        </w:tc>
        <w:tc>
          <w:tcPr>
            <w:tcW w:w="1327" w:type="dxa"/>
            <w:gridSpan w:val="2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3.318,07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1.1.3.</w:t>
            </w:r>
          </w:p>
        </w:tc>
        <w:tc>
          <w:tcPr>
            <w:tcW w:w="3384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Hotnja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27" w:type="dxa"/>
            <w:gridSpan w:val="2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9.500,00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09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27" w:type="dxa"/>
            <w:gridSpan w:val="2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6.500,00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>
        <w:trPr>
          <w:trHeight w:val="300"/>
        </w:trPr>
        <w:tc>
          <w:tcPr>
            <w:tcW w:w="409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lastRenderedPageBreak/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279" w:type="dxa"/>
            <w:gridSpan w:val="2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3.000,00 </w:t>
            </w: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reflektori</w:t>
            </w:r>
            <w:proofErr w:type="spellEnd"/>
            <w:r>
              <w:rPr>
                <w:rFonts w:ascii="Arial Narrow" w:hAnsi="Arial Narrow" w:cs="Arial"/>
                <w:lang w:val="en-US"/>
              </w:rPr>
              <w:t>)</w:t>
            </w:r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Građevine komunalne infrastrukture koje će se graditi izvan građevinskog područja: 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406"/>
        <w:gridCol w:w="1275"/>
        <w:gridCol w:w="1276"/>
        <w:gridCol w:w="1276"/>
        <w:gridCol w:w="1418"/>
      </w:tblGrid>
      <w:tr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/     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2023.(EUR)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395"/>
        <w:gridCol w:w="1289"/>
        <w:gridCol w:w="1290"/>
        <w:gridCol w:w="1290"/>
        <w:gridCol w:w="1376"/>
      </w:tblGrid>
      <w:tr>
        <w:trPr>
          <w:trHeight w:val="5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92.985,60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124.422,72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23.000,00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53.089,12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53.098,12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50.434,67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50.434,67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 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staze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2.654,45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2.654,45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9.370,23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9.370,23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2.000,00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Geodetski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evidentiranje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stvarnog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položaja</w:t>
            </w:r>
            <w:proofErr w:type="spellEnd"/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1.406,86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1.406,86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569,35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1.430,65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highlight w:val="yellow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highlight w:val="yellow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Izvedbeni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23.890,11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55.327,23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21.000,00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22.562,88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54.000,00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19.908,42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 </w:t>
            </w:r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1.091,58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95"/>
        <w:gridCol w:w="1276"/>
        <w:gridCol w:w="1276"/>
        <w:gridCol w:w="1276"/>
        <w:gridCol w:w="1417"/>
      </w:tblGrid>
      <w:tr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2.2.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površine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2.2.1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Kupalište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Posavci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Postojeće građevine komunalne infrastrukture koje će se rekonstruirati i način rekonstrukcije: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406"/>
        <w:gridCol w:w="1275"/>
        <w:gridCol w:w="1276"/>
        <w:gridCol w:w="1276"/>
        <w:gridCol w:w="1418"/>
      </w:tblGrid>
      <w:tr>
        <w:trPr>
          <w:trHeight w:val="300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lastRenderedPageBreak/>
              <w:t>R.br.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/     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2023.(EUR)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94"/>
        <w:gridCol w:w="1275"/>
        <w:gridCol w:w="1275"/>
        <w:gridCol w:w="1275"/>
        <w:gridCol w:w="1423"/>
      </w:tblGrid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>
        <w:trPr>
          <w:trHeight w:val="30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5"/>
        <w:gridCol w:w="1276"/>
        <w:gridCol w:w="1276"/>
        <w:gridCol w:w="1418"/>
      </w:tblGrid>
      <w:tr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14.000,00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Dr.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Cvetnić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Kraljevića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D-36),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Lukinić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Degoj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7.016,63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Rekonst-rukcija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22.297,43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17.000,00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5.916.,63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posebne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namjene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legalizacija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1.100,00</w:t>
            </w:r>
          </w:p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3.2.2   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Nosači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lampe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potrebi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6.983,37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Rekontrukcija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potrebi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3.983,37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posebne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namjene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3.000,00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397"/>
        <w:gridCol w:w="1275"/>
        <w:gridCol w:w="1276"/>
        <w:gridCol w:w="1276"/>
        <w:gridCol w:w="1418"/>
      </w:tblGrid>
      <w:tr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traktorskih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puteva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  <w:t>1.013.160,18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  <w:t>1.013.160,18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  0,00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3.3.1.</w:t>
            </w:r>
          </w:p>
        </w:tc>
        <w:tc>
          <w:tcPr>
            <w:tcW w:w="3397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  <w:t>1.013.160,18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  <w:lang w:val="en-US" w:eastAsia="en-US"/>
              </w:rPr>
              <w:t>1.013.160,18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   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966.707,20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966.707,20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 xml:space="preserve">         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26.544,56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26.544,56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 xml:space="preserve">         0,00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10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19.908,42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>19.908,42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n-US" w:eastAsia="en-US"/>
              </w:rPr>
              <w:t xml:space="preserve">            0,00</w:t>
            </w:r>
          </w:p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</w:p>
          <w:p>
            <w:pPr>
              <w:jc w:val="right"/>
              <w:rPr>
                <w:rFonts w:ascii="Arial Narrow" w:hAnsi="Arial Narrow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Konzultantske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nabava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.)</w:t>
            </w:r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"/>
        <w:gridCol w:w="2172"/>
        <w:gridCol w:w="1276"/>
        <w:gridCol w:w="1276"/>
        <w:gridCol w:w="1275"/>
        <w:gridCol w:w="1418"/>
      </w:tblGrid>
      <w:tr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3.4.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Građevine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uređaji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namjene</w:t>
            </w:r>
            <w:proofErr w:type="spellEnd"/>
          </w:p>
        </w:tc>
      </w:tr>
      <w:tr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Spomenik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svima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poginulima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Hrvatsku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Pokupskom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7.963,37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7.963,37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dogradnja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Program gradnje građevina za gospodarenje otpadom i sanacije neusklađenih odlagališta</w:t>
      </w:r>
    </w:p>
    <w:p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7"/>
        <w:gridCol w:w="1418"/>
        <w:gridCol w:w="1559"/>
      </w:tblGrid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   /     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2023.(EUR)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8"/>
        <w:gridCol w:w="1418"/>
        <w:gridCol w:w="1559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4.1.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290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4.000,00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3664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4.000,00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2.</w:t>
      </w: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„U skladu sa sadržajem Programa prikazanim u Članku 1., troškovi Programa raspoređuju se na slijedeće izvore financiranja: </w:t>
      </w: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416"/>
        <w:gridCol w:w="1385"/>
        <w:gridCol w:w="1409"/>
      </w:tblGrid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1.015.814,64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1.127.251,76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19.908,42</w:t>
            </w:r>
          </w:p>
        </w:tc>
      </w:tr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143.818,43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145.157,14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29.469,35</w:t>
            </w:r>
          </w:p>
        </w:tc>
      </w:tr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2.522,23</w:t>
            </w:r>
          </w:p>
        </w:tc>
      </w:tr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posebne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namjene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3.000,00</w:t>
            </w:r>
          </w:p>
        </w:tc>
      </w:tr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posebne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namjene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legalizacija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1.100,00</w:t>
            </w:r>
          </w:p>
        </w:tc>
      </w:tr>
      <w:tr>
        <w:trPr>
          <w:trHeight w:val="300"/>
        </w:trPr>
        <w:tc>
          <w:tcPr>
            <w:tcW w:w="4852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1.159.633,07</w:t>
            </w:r>
          </w:p>
        </w:tc>
        <w:tc>
          <w:tcPr>
            <w:tcW w:w="1385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1.272.408,90</w:t>
            </w:r>
          </w:p>
        </w:tc>
        <w:tc>
          <w:tcPr>
            <w:tcW w:w="1409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56.000,00</w:t>
            </w:r>
          </w:p>
        </w:tc>
      </w:tr>
    </w:tbl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II. izmjene i dopune Programa stupaju na snagu danom donošenja, a objavit će se u Glasniku Zagrebačke županije.</w:t>
      </w: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Pokupskom,.2023.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F026-3929-4229-BBFE-B03E3E6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720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4</cp:revision>
  <cp:lastPrinted>2022-12-07T07:52:00Z</cp:lastPrinted>
  <dcterms:created xsi:type="dcterms:W3CDTF">2023-12-01T14:37:00Z</dcterms:created>
  <dcterms:modified xsi:type="dcterms:W3CDTF">2023-12-05T09:22:00Z</dcterms:modified>
</cp:coreProperties>
</file>