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5"/>
          <w:tab w:val="left" w:pos="6662"/>
        </w:tabs>
      </w:pPr>
      <w:r>
        <w:tab/>
      </w:r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8" o:title=""/>
          </v:shape>
          <o:OLEObject Type="Embed" ProgID="PhotoFinish" ShapeID="_x0000_i1025" DrawAspect="Content" ObjectID="_1825669366" r:id="rId9"/>
        </w:object>
      </w:r>
      <w:r>
        <w:tab/>
      </w:r>
      <w:r>
        <w:tab/>
      </w:r>
      <w:r>
        <w:tab/>
      </w:r>
      <w:r>
        <w:tab/>
      </w:r>
      <w:r>
        <w:tab/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898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 temelju članka 67. stavak 1. Zakona o komunalnom gospodarstvu (Narodne novine, br. 68/18, 110/18, 32/20 i 145/24) i članka 33. Statuta Općine Pokupsko (Glasnik Zagrebačke županije, br. 13/21) Općinsko vijeće Općine Pokupsko na svojoj __ sjednici održanoj dana ___. godine donosi</w:t>
      </w:r>
    </w:p>
    <w:p>
      <w:pPr>
        <w:pStyle w:val="BodyText2"/>
        <w:jc w:val="both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II. IZMJENE I DOPUNE PROGRAMA </w:t>
      </w:r>
    </w:p>
    <w:p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GRAĐENJA OBJEKATA I UREĐAJA KOMUNALNE INFRASTRUKTURE </w:t>
      </w:r>
    </w:p>
    <w:p>
      <w:pPr>
        <w:pStyle w:val="Body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 OPĆINI POKUPSKO ZA 2025. GODINU</w:t>
      </w:r>
    </w:p>
    <w:p>
      <w:pPr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Članak 1. </w:t>
      </w: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</w:p>
    <w:p>
      <w:pPr>
        <w:pStyle w:val="BodyText"/>
        <w:ind w:lef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Programu građenja objekata i uređaja komunalne infrastrukture u Općini</w:t>
      </w:r>
    </w:p>
    <w:p>
      <w:pPr>
        <w:pStyle w:val="BodyText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Pokupsko za 2025. godinu (Glasnik Zagrebačke županije, br.61/24) i </w:t>
      </w:r>
      <w:proofErr w:type="spellStart"/>
      <w:r>
        <w:rPr>
          <w:rFonts w:ascii="Arial" w:hAnsi="Arial" w:cs="Arial"/>
          <w:szCs w:val="24"/>
        </w:rPr>
        <w:t>I</w:t>
      </w:r>
      <w:proofErr w:type="spellEnd"/>
      <w:r>
        <w:rPr>
          <w:rFonts w:ascii="Arial" w:hAnsi="Arial" w:cs="Arial"/>
          <w:szCs w:val="24"/>
        </w:rPr>
        <w:t>. izmjenama i dopunama Programa građenja objekata i uređaja komunalne infrastrukture u Općini Pokupsko za 2025. godinu (Glasnik Zagrebačke županije, br.33/25) (u daljnjem tekstu: Program) mijenja se članak 2. koji izmijenjen glasi:</w:t>
      </w:r>
    </w:p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„Ovim Programom predviđa se građenje slijedećih objekata, odnosno uređaja komunalne infrastrukture na području Općine Pokupsko u 2025. godini: </w:t>
      </w: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numPr>
          <w:ilvl w:val="0"/>
          <w:numId w:val="15"/>
        </w:numPr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Građevine komunalne infrastrukture koje će se graditi u uređenim dijelovima građevinskog područja: </w:t>
      </w:r>
    </w:p>
    <w:p>
      <w:pPr>
        <w:jc w:val="right"/>
        <w:rPr>
          <w:rFonts w:ascii="Arial" w:hAnsi="Arial" w:cs="Arial"/>
          <w:b/>
          <w:bCs/>
          <w:szCs w:val="24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610"/>
        <w:gridCol w:w="1382"/>
        <w:gridCol w:w="1231"/>
        <w:gridCol w:w="1457"/>
        <w:gridCol w:w="1457"/>
      </w:tblGrid>
      <w:tr>
        <w:trPr>
          <w:trHeight w:val="283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R.br.</w:t>
            </w:r>
          </w:p>
        </w:tc>
        <w:tc>
          <w:tcPr>
            <w:tcW w:w="362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infrastrukture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/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Izvori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1386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2025. (EUR)</w:t>
            </w:r>
          </w:p>
        </w:tc>
        <w:tc>
          <w:tcPr>
            <w:tcW w:w="1233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troška</w:t>
            </w:r>
            <w:proofErr w:type="spellEnd"/>
          </w:p>
        </w:tc>
      </w:tr>
    </w:tbl>
    <w:p/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12"/>
        <w:gridCol w:w="1389"/>
        <w:gridCol w:w="1238"/>
        <w:gridCol w:w="1450"/>
        <w:gridCol w:w="1461"/>
      </w:tblGrid>
      <w:tr>
        <w:trPr>
          <w:trHeight w:val="401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1.1.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Javne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zelene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površine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18.800,00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28.800,00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18.800,00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401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1.1.1.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Nogometno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igralište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Lukinić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Brdo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Lukinići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3.000,00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3.000,00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Opći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prihodi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primici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3.000,00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Oprema</w:t>
            </w:r>
            <w:proofErr w:type="spellEnd"/>
          </w:p>
        </w:tc>
      </w:tr>
      <w:tr>
        <w:trPr>
          <w:trHeight w:val="401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1.1.1.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Nogometno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igralište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Strezojevo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5.000,00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5.000,00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5.000,00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Opći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prihodi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primici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5.000,00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5.000,00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5.000,00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Radovi</w:t>
            </w:r>
            <w:proofErr w:type="spellEnd"/>
          </w:p>
        </w:tc>
      </w:tr>
      <w:tr>
        <w:trPr>
          <w:trHeight w:val="401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1.1.2.</w:t>
            </w:r>
          </w:p>
        </w:tc>
        <w:tc>
          <w:tcPr>
            <w:tcW w:w="3612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Nogometno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igralište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Hotnja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3.000,00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3.000,00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3.000,00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3.000,00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Oprema</w:t>
            </w:r>
            <w:proofErr w:type="spellEnd"/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lastRenderedPageBreak/>
              <w:t xml:space="preserve">1.1.3.   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Nogometno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igralište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Roženica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II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800,00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800,00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800,00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800,00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800,00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800,00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Oprema</w:t>
            </w:r>
            <w:proofErr w:type="spellEnd"/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1.1.4.   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Nogometno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igralište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Stepanci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7.000,00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7.000,00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7.000,00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7.000,00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7.000,00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7.000,00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Oprema</w:t>
            </w:r>
            <w:proofErr w:type="spellEnd"/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1.1.5. 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Nogometno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igralište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ŠRC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Stari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Grad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10.000,00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>
        <w:trPr>
          <w:trHeight w:val="401"/>
          <w:jc w:val="center"/>
        </w:trPr>
        <w:tc>
          <w:tcPr>
            <w:tcW w:w="4321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38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10.000,00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0,00</w:t>
            </w:r>
          </w:p>
        </w:tc>
        <w:tc>
          <w:tcPr>
            <w:tcW w:w="1461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Radovi</w:t>
            </w:r>
            <w:proofErr w:type="spellEnd"/>
          </w:p>
        </w:tc>
      </w:tr>
    </w:tbl>
    <w:p/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1394"/>
        <w:gridCol w:w="1240"/>
        <w:gridCol w:w="1470"/>
        <w:gridCol w:w="1470"/>
      </w:tblGrid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1.2.     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Javna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rasvjeta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7.700,00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7.800,00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7.800,00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1.2.1  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Auguštanovec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900,00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1.300,00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1.300,00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Radovi</w:t>
            </w:r>
            <w:proofErr w:type="spellEnd"/>
          </w:p>
        </w:tc>
      </w:tr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900,00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1.300,00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1.300,00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1.2.2. 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Roženica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Dolački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1.800,00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2.700,00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2.700,00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Radovi</w:t>
            </w:r>
            <w:proofErr w:type="spellEnd"/>
          </w:p>
        </w:tc>
      </w:tr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1.800,00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2.700,00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2.700,00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1.2.3. 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Strezojevo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Gornje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Muže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5.000,00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3.800,00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3.800,00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Radovi</w:t>
            </w:r>
            <w:proofErr w:type="spellEnd"/>
          </w:p>
        </w:tc>
      </w:tr>
      <w:tr>
        <w:trPr>
          <w:trHeight w:val="262"/>
          <w:jc w:val="center"/>
        </w:trPr>
        <w:tc>
          <w:tcPr>
            <w:tcW w:w="4288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5.000,00</w:t>
            </w:r>
          </w:p>
        </w:tc>
        <w:tc>
          <w:tcPr>
            <w:tcW w:w="1240" w:type="dxa"/>
            <w:vAlign w:val="center"/>
          </w:tcPr>
          <w:p>
            <w:pPr>
              <w:jc w:val="right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3.800,00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3.800,00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numPr>
          <w:ilvl w:val="0"/>
          <w:numId w:val="15"/>
        </w:numPr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Građevine komunalne infrastrukture koje će se graditi izvan građevinskog područja: </w:t>
      </w: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688"/>
        <w:gridCol w:w="1411"/>
        <w:gridCol w:w="1256"/>
        <w:gridCol w:w="1488"/>
        <w:gridCol w:w="1488"/>
      </w:tblGrid>
      <w:tr>
        <w:trPr>
          <w:trHeight w:val="316"/>
          <w:jc w:val="center"/>
        </w:trPr>
        <w:tc>
          <w:tcPr>
            <w:tcW w:w="64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R.br.</w:t>
            </w:r>
          </w:p>
        </w:tc>
        <w:tc>
          <w:tcPr>
            <w:tcW w:w="3697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infrastrukture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/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Izvori</w:t>
            </w:r>
            <w:proofErr w:type="spellEnd"/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2025. (EUR)</w:t>
            </w:r>
          </w:p>
        </w:tc>
        <w:tc>
          <w:tcPr>
            <w:tcW w:w="1257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troška</w:t>
            </w:r>
            <w:proofErr w:type="spellEnd"/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89"/>
        <w:gridCol w:w="1392"/>
        <w:gridCol w:w="1202"/>
        <w:gridCol w:w="1524"/>
        <w:gridCol w:w="1545"/>
      </w:tblGrid>
      <w:tr>
        <w:trPr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2.1.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Groblja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80.000,00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100.300,00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103.300,00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2.1.1.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53.000,00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71.300,00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71.300,00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50.000,00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68.300,00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68.300,00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Radovi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staze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>)</w:t>
            </w: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49.000,00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38.300,00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38.300,00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1.000,00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30.000,00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30.000,00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Stručni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nadzor</w:t>
            </w:r>
            <w:proofErr w:type="spellEnd"/>
          </w:p>
        </w:tc>
      </w:tr>
      <w:tr>
        <w:trPr>
          <w:trHeight w:val="265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both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2.1.2.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Lukinić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17.000,00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17.000,00</w:t>
            </w:r>
          </w:p>
        </w:tc>
        <w:tc>
          <w:tcPr>
            <w:tcW w:w="1524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17.000,00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12.000,00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12.000,00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12.000,00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Geodetski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elaborat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evidentiranje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stvarnog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položaja</w:t>
            </w:r>
            <w:proofErr w:type="spellEnd"/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highlight w:val="yellow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Imovinsko-pravni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odnosi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uklanjanje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suhog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granja</w:t>
            </w:r>
            <w:proofErr w:type="spellEnd"/>
          </w:p>
        </w:tc>
      </w:tr>
      <w:tr>
        <w:trPr>
          <w:trHeight w:val="265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2.1.3.</w:t>
            </w:r>
          </w:p>
        </w:tc>
        <w:tc>
          <w:tcPr>
            <w:tcW w:w="358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Štefanki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10.000,00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12.000,00</w:t>
            </w:r>
          </w:p>
        </w:tc>
        <w:tc>
          <w:tcPr>
            <w:tcW w:w="1524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10.500,00</w:t>
            </w:r>
          </w:p>
        </w:tc>
        <w:tc>
          <w:tcPr>
            <w:tcW w:w="1545" w:type="dxa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8.355,01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10.355,01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8.855,01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Otkup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zemljišta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geodezija</w:t>
            </w:r>
            <w:proofErr w:type="spellEnd"/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od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prodaje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nefinancijske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imovine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1.644,99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1.644,99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1.644,99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Otkup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zemljišta</w:t>
            </w:r>
            <w:proofErr w:type="spellEnd"/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2.1.4.  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Hotnja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4.500,00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265"/>
          <w:jc w:val="center"/>
        </w:trPr>
        <w:tc>
          <w:tcPr>
            <w:tcW w:w="429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202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4.500,00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Asfaltiranje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staze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uz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lastRenderedPageBreak/>
              <w:t>groblje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pristupni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put)</w:t>
            </w:r>
          </w:p>
        </w:tc>
      </w:tr>
    </w:tbl>
    <w:p/>
    <w:p/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20"/>
        <w:gridCol w:w="1393"/>
        <w:gridCol w:w="1143"/>
        <w:gridCol w:w="1532"/>
        <w:gridCol w:w="1535"/>
      </w:tblGrid>
      <w:tr>
        <w:trPr>
          <w:trHeight w:val="28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2.2.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Nerazvrstane</w:t>
            </w:r>
            <w:proofErr w:type="spellEnd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ceste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27.000,00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27.000,00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</w:tr>
      <w:tr>
        <w:trPr>
          <w:trHeight w:val="28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2.2.1.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Lukinić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Opatija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27.000,00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27.000,00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285"/>
          <w:jc w:val="center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285"/>
          <w:jc w:val="center"/>
        </w:trPr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27.000,00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27.000,00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0,00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Glavni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projekt</w:t>
            </w:r>
            <w:proofErr w:type="spellEnd"/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numPr>
          <w:ilvl w:val="0"/>
          <w:numId w:val="15"/>
        </w:numPr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Postojeće građevine komunalne infrastrukture koje će se rekonstruirati i način rekonstrukcije:</w:t>
      </w: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12"/>
        <w:gridCol w:w="1373"/>
        <w:gridCol w:w="1191"/>
        <w:gridCol w:w="1280"/>
        <w:gridCol w:w="1433"/>
      </w:tblGrid>
      <w:tr>
        <w:trPr>
          <w:trHeight w:val="324"/>
          <w:jc w:val="center"/>
        </w:trPr>
        <w:tc>
          <w:tcPr>
            <w:tcW w:w="665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R.br.</w:t>
            </w:r>
          </w:p>
        </w:tc>
        <w:tc>
          <w:tcPr>
            <w:tcW w:w="3712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infrastrukture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/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Izvori</w:t>
            </w:r>
            <w:proofErr w:type="spellEnd"/>
          </w:p>
        </w:tc>
        <w:tc>
          <w:tcPr>
            <w:tcW w:w="1373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2025. (EUR)</w:t>
            </w:r>
          </w:p>
        </w:tc>
        <w:tc>
          <w:tcPr>
            <w:tcW w:w="1191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troška</w:t>
            </w:r>
            <w:proofErr w:type="spellEnd"/>
          </w:p>
        </w:tc>
      </w:tr>
    </w:tbl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9"/>
        <w:gridCol w:w="742"/>
        <w:gridCol w:w="1134"/>
        <w:gridCol w:w="283"/>
        <w:gridCol w:w="1134"/>
        <w:gridCol w:w="284"/>
        <w:gridCol w:w="1134"/>
        <w:gridCol w:w="153"/>
        <w:gridCol w:w="1174"/>
      </w:tblGrid>
      <w:tr>
        <w:trPr>
          <w:trHeight w:val="5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3.1.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Javne</w:t>
            </w:r>
            <w:proofErr w:type="spellEnd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zelene</w:t>
            </w:r>
            <w:proofErr w:type="spellEnd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površine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33.000,00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 xml:space="preserve">53.533,00                                             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  <w:t>61.333,00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 Narrow" w:hAnsi="Arial Narrow" w:cs="Arial"/>
                <w:b/>
                <w:bCs/>
                <w:szCs w:val="24"/>
                <w:lang w:val="en-US" w:eastAsia="en-US"/>
              </w:rPr>
            </w:pPr>
          </w:p>
        </w:tc>
      </w:tr>
      <w:tr>
        <w:trPr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3.1.2.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Dječja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igrališta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</w:p>
          <w:p>
            <w:pPr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 xml:space="preserve">ŠRC Stari grad Pokupsko, Pokupsko (Trg Pavla </w:t>
            </w:r>
            <w:proofErr w:type="spellStart"/>
            <w:r>
              <w:rPr>
                <w:rFonts w:ascii="Arial Narrow" w:hAnsi="Arial Narrow" w:cs="Arial"/>
                <w:szCs w:val="24"/>
              </w:rPr>
              <w:t>Štoosa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szCs w:val="24"/>
              </w:rPr>
              <w:t>Potoček</w:t>
            </w:r>
            <w:proofErr w:type="spellEnd"/>
            <w:r>
              <w:rPr>
                <w:rFonts w:ascii="Arial Narrow" w:hAnsi="Arial Narrow" w:cs="Arial"/>
                <w:szCs w:val="24"/>
              </w:rPr>
              <w:t xml:space="preserve">, Lijevi </w:t>
            </w:r>
            <w:proofErr w:type="spellStart"/>
            <w:r>
              <w:rPr>
                <w:rFonts w:ascii="Arial Narrow" w:hAnsi="Arial Narrow" w:cs="Arial"/>
                <w:szCs w:val="24"/>
              </w:rPr>
              <w:t>Degoj</w:t>
            </w:r>
            <w:proofErr w:type="spellEnd"/>
            <w:r>
              <w:rPr>
                <w:rFonts w:ascii="Arial Narrow" w:hAnsi="Arial Narrow" w:cs="Arial"/>
                <w:szCs w:val="24"/>
              </w:rPr>
              <w:t>, Skender Brdo, Pokupsko Cerje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33.000,00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40.533,00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42.333,00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Opremanje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prijava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projekta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oprema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 </w:t>
            </w:r>
          </w:p>
        </w:tc>
      </w:tr>
      <w:tr>
        <w:trPr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Skender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Krpečanci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13.000,00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19.000,00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Ograda</w:t>
            </w:r>
            <w:proofErr w:type="spellEnd"/>
          </w:p>
        </w:tc>
      </w:tr>
      <w:tr>
        <w:trPr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21.100,00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27.400,00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rPr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28.000,00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32.433,00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33.933,00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/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19"/>
        <w:gridCol w:w="1290"/>
        <w:gridCol w:w="1323"/>
        <w:gridCol w:w="1276"/>
        <w:gridCol w:w="1512"/>
      </w:tblGrid>
      <w:tr>
        <w:trPr>
          <w:trHeight w:val="497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3.2.</w:t>
            </w:r>
          </w:p>
        </w:tc>
        <w:tc>
          <w:tcPr>
            <w:tcW w:w="361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Javna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rasvjeta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62.000,00</w:t>
            </w:r>
          </w:p>
        </w:tc>
        <w:tc>
          <w:tcPr>
            <w:tcW w:w="1323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72.000,00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73.600,00</w:t>
            </w:r>
          </w:p>
        </w:tc>
        <w:tc>
          <w:tcPr>
            <w:tcW w:w="1512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3.2.1.</w:t>
            </w:r>
          </w:p>
        </w:tc>
        <w:tc>
          <w:tcPr>
            <w:tcW w:w="361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osim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Dr.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Franje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Tuđmana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Trga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Pavla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Štoosa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Gladovec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Cvetnić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Zgurić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Šestak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Roženica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osim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Markuzi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Sučeci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Opatija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Cerje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osim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Kraljevića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D-36),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Štefanki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Lukinić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Degoj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Auguštanovec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Hotnja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Strezojevo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57.000,00</w:t>
            </w:r>
          </w:p>
        </w:tc>
        <w:tc>
          <w:tcPr>
            <w:tcW w:w="1323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57.000,00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58.600,00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Rekonstrukcija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zamjena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rasvjetnih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tijela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najam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238"/>
          <w:jc w:val="center"/>
        </w:trPr>
        <w:tc>
          <w:tcPr>
            <w:tcW w:w="4328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           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Lijevi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Degoj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Opatija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-</w:t>
            </w:r>
            <w:bookmarkStart w:id="0" w:name="_GoBack"/>
            <w:bookmarkEnd w:id="0"/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10.000,00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Ormar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javne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rasvjete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zamjena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izmještanje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</w:p>
        </w:tc>
      </w:tr>
      <w:tr>
        <w:tblPrEx>
          <w:tblBorders>
            <w:insideH w:val="single" w:sz="4" w:space="0" w:color="auto"/>
          </w:tblBorders>
        </w:tblPrEx>
        <w:trPr>
          <w:trHeight w:val="238"/>
          <w:jc w:val="center"/>
        </w:trPr>
        <w:tc>
          <w:tcPr>
            <w:tcW w:w="43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 3.000,00</w:t>
            </w:r>
          </w:p>
        </w:tc>
        <w:tc>
          <w:tcPr>
            <w:tcW w:w="1276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6.000,00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38"/>
          <w:jc w:val="center"/>
        </w:trPr>
        <w:tc>
          <w:tcPr>
            <w:tcW w:w="43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zadržavanje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nezakonito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izgrađenih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zgrada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prostoru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323" w:type="dxa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  2.000,00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300,00</w:t>
            </w:r>
          </w:p>
        </w:tc>
        <w:tc>
          <w:tcPr>
            <w:tcW w:w="1512" w:type="dxa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38"/>
          <w:jc w:val="center"/>
        </w:trPr>
        <w:tc>
          <w:tcPr>
            <w:tcW w:w="43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doprinos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2.300,00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238"/>
          <w:jc w:val="center"/>
        </w:trPr>
        <w:tc>
          <w:tcPr>
            <w:tcW w:w="43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55.000,00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60.000,00</w:t>
            </w:r>
          </w:p>
        </w:tc>
        <w:tc>
          <w:tcPr>
            <w:tcW w:w="1276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60.000,00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477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3.2.2.</w:t>
            </w:r>
          </w:p>
        </w:tc>
        <w:tc>
          <w:tcPr>
            <w:tcW w:w="3619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Roženica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I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Markuzi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), 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Gladovec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Pokupski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5.000,00</w:t>
            </w:r>
          </w:p>
        </w:tc>
        <w:tc>
          <w:tcPr>
            <w:tcW w:w="1323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5.000,00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5.000,00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Rekonstrukcija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zamjena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stupova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>)</w:t>
            </w:r>
          </w:p>
        </w:tc>
      </w:tr>
      <w:tr>
        <w:tblPrEx>
          <w:tblBorders>
            <w:insideH w:val="single" w:sz="4" w:space="0" w:color="auto"/>
          </w:tblBorders>
        </w:tblPrEx>
        <w:trPr>
          <w:trHeight w:val="238"/>
          <w:jc w:val="center"/>
        </w:trPr>
        <w:tc>
          <w:tcPr>
            <w:tcW w:w="4328" w:type="dxa"/>
            <w:gridSpan w:val="2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323" w:type="dxa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5"/>
        <w:gridCol w:w="3680"/>
        <w:gridCol w:w="1275"/>
        <w:gridCol w:w="1418"/>
        <w:gridCol w:w="126"/>
        <w:gridCol w:w="1052"/>
        <w:gridCol w:w="47"/>
        <w:gridCol w:w="334"/>
        <w:gridCol w:w="359"/>
        <w:gridCol w:w="775"/>
      </w:tblGrid>
      <w:tr>
        <w:trPr>
          <w:trHeight w:val="660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3.3.</w:t>
            </w:r>
          </w:p>
        </w:tc>
        <w:tc>
          <w:tcPr>
            <w:tcW w:w="3705" w:type="dxa"/>
            <w:gridSpan w:val="2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Rekonstrukcija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traktorskih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puteva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šumske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ceste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16.000,00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 16.000,00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16.000,00</w:t>
            </w:r>
          </w:p>
        </w:tc>
        <w:tc>
          <w:tcPr>
            <w:tcW w:w="359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  <w:tc>
          <w:tcPr>
            <w:tcW w:w="775" w:type="dxa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3.3.1.</w:t>
            </w:r>
          </w:p>
        </w:tc>
        <w:tc>
          <w:tcPr>
            <w:tcW w:w="3680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Markuzi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Šaše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Turkovići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Magdić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Šestak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Brdo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Žugaji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16.000,00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 16.000,00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16.000,00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11.000,00</w:t>
            </w:r>
          </w:p>
        </w:tc>
        <w:tc>
          <w:tcPr>
            <w:tcW w:w="1544" w:type="dxa"/>
            <w:gridSpan w:val="2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</w:p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11.000,00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11.000,00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Korekcija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glavnog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projekta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5.000,00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Prijava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natječaj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556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3.4.   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Nadstrešnice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stajalištima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autobusa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  <w:tr>
        <w:tblPrEx>
          <w:tblBorders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3.4.1.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Roženica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I,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Roženica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II,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Hotnja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Gajdeki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10.000,00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17.0000,00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17.000,00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Nadstrešnica</w:t>
            </w:r>
            <w:proofErr w:type="spellEnd"/>
          </w:p>
        </w:tc>
      </w:tr>
      <w:tr>
        <w:tblPrEx>
          <w:tblBorders>
            <w:insideH w:val="single" w:sz="4" w:space="0" w:color="auto"/>
          </w:tblBorders>
        </w:tblPrEx>
        <w:trPr>
          <w:trHeight w:val="660"/>
          <w:jc w:val="center"/>
        </w:trPr>
        <w:tc>
          <w:tcPr>
            <w:tcW w:w="4390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10.000,00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17.000,00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17.000,00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</w:tr>
    </w:tbl>
    <w:p/>
    <w:p/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numPr>
          <w:ilvl w:val="0"/>
          <w:numId w:val="15"/>
        </w:numPr>
        <w:spacing w:before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Program gradnje građevina za gospodarenje otpadom i sanacije neusklađenih odlagališta</w:t>
      </w:r>
    </w:p>
    <w:p>
      <w:pPr>
        <w:pStyle w:val="ListParagraph"/>
        <w:rPr>
          <w:rFonts w:ascii="Arial" w:hAnsi="Arial" w:cs="Arial"/>
          <w:b/>
          <w:bCs/>
          <w:szCs w:val="24"/>
        </w:rPr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813"/>
        <w:gridCol w:w="1410"/>
        <w:gridCol w:w="1194"/>
        <w:gridCol w:w="1338"/>
        <w:gridCol w:w="1472"/>
      </w:tblGrid>
      <w:tr>
        <w:trPr>
          <w:trHeight w:val="243"/>
          <w:jc w:val="center"/>
        </w:trPr>
        <w:tc>
          <w:tcPr>
            <w:tcW w:w="666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R.br.</w:t>
            </w:r>
          </w:p>
        </w:tc>
        <w:tc>
          <w:tcPr>
            <w:tcW w:w="3813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naziv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infrastrukture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 /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Izvori</w:t>
            </w:r>
            <w:proofErr w:type="spellEnd"/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2025. (EUR)</w:t>
            </w:r>
          </w:p>
        </w:tc>
        <w:tc>
          <w:tcPr>
            <w:tcW w:w="1194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II.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izmjene</w:t>
            </w:r>
            <w:proofErr w:type="spellEnd"/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Vrsta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troška</w:t>
            </w:r>
            <w:proofErr w:type="spellEnd"/>
          </w:p>
        </w:tc>
      </w:tr>
    </w:tbl>
    <w:p>
      <w:pPr>
        <w:pStyle w:val="ListParagraph"/>
        <w:rPr>
          <w:rFonts w:ascii="Arial" w:hAnsi="Arial" w:cs="Arial"/>
          <w:b/>
          <w:bCs/>
          <w:szCs w:val="24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694"/>
        <w:gridCol w:w="1177"/>
        <w:gridCol w:w="1292"/>
        <w:gridCol w:w="1293"/>
        <w:gridCol w:w="1421"/>
        <w:gridCol w:w="1421"/>
      </w:tblGrid>
      <w:tr>
        <w:trPr>
          <w:trHeight w:val="274"/>
          <w:jc w:val="center"/>
        </w:trPr>
        <w:tc>
          <w:tcPr>
            <w:tcW w:w="646" w:type="dxa"/>
            <w:shd w:val="clear" w:color="auto" w:fill="auto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4.1.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oprema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kante</w:t>
            </w:r>
            <w:proofErr w:type="spellEnd"/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)</w:t>
            </w:r>
          </w:p>
        </w:tc>
        <w:tc>
          <w:tcPr>
            <w:tcW w:w="1176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39.900,00</w:t>
            </w:r>
          </w:p>
        </w:tc>
        <w:tc>
          <w:tcPr>
            <w:tcW w:w="1293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23.950,00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23.950,00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</w:p>
        </w:tc>
      </w:tr>
      <w:tr>
        <w:trPr>
          <w:trHeight w:val="274"/>
          <w:jc w:val="center"/>
        </w:trPr>
        <w:tc>
          <w:tcPr>
            <w:tcW w:w="4517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10.000,00</w:t>
            </w:r>
          </w:p>
        </w:tc>
        <w:tc>
          <w:tcPr>
            <w:tcW w:w="1293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4.790,00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4.790,00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oprema</w:t>
            </w:r>
            <w:proofErr w:type="spellEnd"/>
          </w:p>
        </w:tc>
      </w:tr>
      <w:tr>
        <w:trPr>
          <w:trHeight w:val="274"/>
          <w:jc w:val="center"/>
        </w:trPr>
        <w:tc>
          <w:tcPr>
            <w:tcW w:w="4517" w:type="dxa"/>
            <w:gridSpan w:val="3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29.900,00</w:t>
            </w:r>
          </w:p>
        </w:tc>
        <w:tc>
          <w:tcPr>
            <w:tcW w:w="1293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19.160,00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19.160,00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oprema</w:t>
            </w:r>
            <w:proofErr w:type="spellEnd"/>
          </w:p>
        </w:tc>
      </w:tr>
    </w:tbl>
    <w:p>
      <w:pPr>
        <w:pStyle w:val="Paragraf"/>
        <w:spacing w:before="0"/>
        <w:ind w:left="720" w:firstLine="0"/>
        <w:jc w:val="left"/>
        <w:rPr>
          <w:rFonts w:ascii="Arial" w:hAnsi="Arial" w:cs="Arial"/>
          <w:bCs/>
          <w:szCs w:val="24"/>
        </w:rPr>
      </w:pPr>
    </w:p>
    <w:p>
      <w:pPr>
        <w:pStyle w:val="Paragraf"/>
        <w:spacing w:before="0"/>
        <w:ind w:left="720" w:firstLine="0"/>
        <w:rPr>
          <w:rFonts w:ascii="Arial" w:hAnsi="Arial" w:cs="Arial"/>
          <w:b/>
          <w:bCs/>
          <w:szCs w:val="24"/>
        </w:rPr>
      </w:pPr>
    </w:p>
    <w:p>
      <w:pPr>
        <w:pStyle w:val="Paragraf"/>
        <w:spacing w:before="0"/>
        <w:ind w:firstLine="36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Članak 2.</w:t>
      </w:r>
    </w:p>
    <w:p>
      <w:pPr>
        <w:pStyle w:val="Paragraf"/>
        <w:spacing w:before="0"/>
        <w:ind w:firstLine="360"/>
        <w:jc w:val="center"/>
        <w:rPr>
          <w:rFonts w:ascii="Arial" w:hAnsi="Arial" w:cs="Arial"/>
          <w:bCs/>
          <w:szCs w:val="24"/>
        </w:rPr>
      </w:pP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„U skladu sa sadržajem Programa prikazanim u Članku 1., troškovi Programa raspoređuju se na slijedeće izvore financiranja: </w:t>
      </w: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502"/>
        <w:gridCol w:w="1501"/>
        <w:gridCol w:w="1830"/>
      </w:tblGrid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3.000,00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6.000,00</w:t>
            </w:r>
          </w:p>
        </w:tc>
      </w:tr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Naknada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zadržavanje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nezakonito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izgrađenih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zgrada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u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prostoru</w:t>
            </w:r>
            <w:proofErr w:type="spellEnd"/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300,00</w:t>
            </w:r>
          </w:p>
        </w:tc>
      </w:tr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Komunalni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doprinos</w:t>
            </w:r>
            <w:proofErr w:type="spellEnd"/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2.000,00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2.300,00</w:t>
            </w:r>
          </w:p>
        </w:tc>
      </w:tr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Pomoći</w:t>
            </w:r>
            <w:proofErr w:type="spellEnd"/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133.900,00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116.893,00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91.393,00</w:t>
            </w:r>
          </w:p>
        </w:tc>
      </w:tr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od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prodaje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nefinancijske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imovine</w:t>
            </w:r>
            <w:proofErr w:type="spellEnd"/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1.644,99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1.644,99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1.644,99</w:t>
            </w:r>
          </w:p>
        </w:tc>
      </w:tr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Opći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prihodi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i</w:t>
            </w:r>
            <w:proofErr w:type="spellEnd"/>
            <w:r>
              <w:rPr>
                <w:rFonts w:ascii="Arial Narrow" w:hAnsi="Arial Narrow" w:cs="Arial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Cs w:val="24"/>
                <w:lang w:val="en-US" w:eastAsia="en-US"/>
              </w:rPr>
              <w:t>primici</w:t>
            </w:r>
            <w:proofErr w:type="spellEnd"/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151.855,01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220.845,01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Arial Narrow" w:hAnsi="Arial Narrow" w:cs="Arial"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szCs w:val="24"/>
                <w:lang w:val="en-US" w:eastAsia="en-US"/>
              </w:rPr>
              <w:t>220.145,01</w:t>
            </w:r>
          </w:p>
        </w:tc>
      </w:tr>
      <w:tr>
        <w:trPr>
          <w:trHeight w:val="309"/>
          <w:jc w:val="center"/>
        </w:trPr>
        <w:tc>
          <w:tcPr>
            <w:tcW w:w="4909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 xml:space="preserve">UKUPNO: 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294.400,00</w:t>
            </w:r>
          </w:p>
        </w:tc>
        <w:tc>
          <w:tcPr>
            <w:tcW w:w="1501" w:type="dxa"/>
            <w:vAlign w:val="center"/>
          </w:tcPr>
          <w:p>
            <w:pPr>
              <w:jc w:val="right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346.383,00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ascii="Arial Narrow" w:hAnsi="Arial Narrow" w:cs="Arial"/>
                <w:b/>
                <w:szCs w:val="24"/>
                <w:lang w:val="en-US" w:eastAsia="en-US"/>
              </w:rPr>
            </w:pPr>
            <w:r>
              <w:rPr>
                <w:rFonts w:ascii="Arial Narrow" w:hAnsi="Arial Narrow" w:cs="Arial"/>
                <w:b/>
                <w:szCs w:val="24"/>
                <w:lang w:val="en-US" w:eastAsia="en-US"/>
              </w:rPr>
              <w:t>321.783,00</w:t>
            </w:r>
          </w:p>
        </w:tc>
      </w:tr>
    </w:tbl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BodyText"/>
        <w:ind w:left="1080"/>
        <w:rPr>
          <w:rFonts w:ascii="Arial" w:hAnsi="Arial" w:cs="Arial"/>
          <w:szCs w:val="24"/>
        </w:rPr>
      </w:pP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3.</w:t>
      </w:r>
    </w:p>
    <w:p>
      <w:pPr>
        <w:pStyle w:val="BodyText"/>
        <w:ind w:left="360"/>
        <w:jc w:val="center"/>
        <w:rPr>
          <w:rFonts w:ascii="Arial" w:hAnsi="Arial" w:cs="Arial"/>
          <w:szCs w:val="24"/>
        </w:rPr>
      </w:pPr>
    </w:p>
    <w:p>
      <w:pPr>
        <w:pStyle w:val="Paragraf"/>
        <w:spacing w:before="0"/>
        <w:ind w:firstLine="3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Ove II. izmjene i dopune Programa stupaju na prvog dana od dana objave, a objavit će se u Glasniku Zagrebačke županije.</w:t>
      </w:r>
    </w:p>
    <w:p>
      <w:pPr>
        <w:pStyle w:val="BodyText"/>
        <w:rPr>
          <w:rFonts w:ascii="Arial" w:hAnsi="Arial" w:cs="Arial"/>
          <w:b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Pokupskom, 2025. godine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Stjepan Sučec</w:t>
      </w:r>
    </w:p>
    <w:sectPr>
      <w:footerReference w:type="even" r:id="rId11"/>
      <w:headerReference w:type="first" r:id="rId12"/>
      <w:pgSz w:w="11906" w:h="16838"/>
      <w:pgMar w:top="1417" w:right="1417" w:bottom="1276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  <w:r>
      <w:rPr>
        <w:b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61DA"/>
    <w:multiLevelType w:val="hybridMultilevel"/>
    <w:tmpl w:val="63820F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53243"/>
    <w:multiLevelType w:val="hybridMultilevel"/>
    <w:tmpl w:val="909075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A1445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F00F7"/>
    <w:multiLevelType w:val="multilevel"/>
    <w:tmpl w:val="62A24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25158"/>
    <w:multiLevelType w:val="hybridMultilevel"/>
    <w:tmpl w:val="2FD420E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7559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680C"/>
    <w:multiLevelType w:val="hybridMultilevel"/>
    <w:tmpl w:val="F796DDEC"/>
    <w:lvl w:ilvl="0" w:tplc="161EF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42B87"/>
    <w:multiLevelType w:val="hybridMultilevel"/>
    <w:tmpl w:val="08A02228"/>
    <w:lvl w:ilvl="0" w:tplc="056A1AB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B9D7DD7"/>
    <w:multiLevelType w:val="hybridMultilevel"/>
    <w:tmpl w:val="1F2C5A9C"/>
    <w:lvl w:ilvl="0" w:tplc="FDC4E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7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9A05FFA-8AE0-45DA-851F-DE12B943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hAnsi="Tahoma" w:cs="Tahoma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  <w:style w:type="character" w:customStyle="1" w:styleId="BodyTextChar">
    <w:name w:val="Body Text Char"/>
    <w:basedOn w:val="DefaultParagraphFont"/>
    <w:link w:val="BodyText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A59F-3F4B-418A-9466-D8014F60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890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21</cp:revision>
  <cp:lastPrinted>2025-08-18T12:16:00Z</cp:lastPrinted>
  <dcterms:created xsi:type="dcterms:W3CDTF">2024-10-30T07:57:00Z</dcterms:created>
  <dcterms:modified xsi:type="dcterms:W3CDTF">2025-11-26T12:36:00Z</dcterms:modified>
</cp:coreProperties>
</file>