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6.95pt" o:ole="">
            <v:imagedata r:id="rId8" o:title=""/>
          </v:shape>
          <o:OLEObject Type="Embed" ProgID="PhotoFinish" ShapeID="_x0000_i1025" DrawAspect="Content" ObjectID="_1763277177" r:id="rId9"/>
        </w:object>
      </w:r>
      <w:r>
        <w:tab/>
      </w:r>
      <w:r>
        <w:tab/>
      </w:r>
      <w:r>
        <w:tab/>
      </w:r>
      <w:r>
        <w:tab/>
      </w:r>
    </w:p>
    <w:p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>
      <w:pPr>
        <w:rPr>
          <w:b/>
          <w:lang w:val="pl-PL"/>
        </w:rPr>
      </w:pPr>
      <w:r>
        <w:rPr>
          <w:b/>
          <w:lang w:val="pl-PL"/>
        </w:rPr>
        <w:t>OPĆINA POKUPSKO</w:t>
      </w:r>
    </w:p>
    <w:p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  <w:r>
        <w:rPr>
          <w:b/>
          <w:sz w:val="26"/>
          <w:szCs w:val="26"/>
          <w:lang w:val="pl-PL"/>
        </w:rPr>
        <w:tab/>
      </w:r>
    </w:p>
    <w:p>
      <w:pPr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ab/>
      </w:r>
      <w:r>
        <w:rPr>
          <w:b/>
          <w:color w:val="FF0000"/>
          <w:sz w:val="26"/>
          <w:szCs w:val="26"/>
          <w:lang w:val="pl-PL"/>
        </w:rPr>
        <w:tab/>
      </w:r>
    </w:p>
    <w:p>
      <w:pPr>
        <w:rPr>
          <w:lang w:val="pl-PL"/>
        </w:rPr>
      </w:pPr>
    </w:p>
    <w:p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72. stavka 1. Zakona o komunalnom gospodarstvu (Narodne novine, br. 68/18, 110/18 i 32/20) i članka 33. Statuta Općine Pokupsko (Glasnik Zagrebačke županije, br. 13/21) Općinsko vijeće Općine Pokupsko na svojoj ___. sjednici održanoj dana ____, 2023. godine donosi</w:t>
      </w: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jc w:val="both"/>
        <w:rPr>
          <w:rFonts w:ascii="Arial" w:hAnsi="Arial" w:cs="Arial"/>
          <w:szCs w:val="24"/>
        </w:rPr>
      </w:pPr>
    </w:p>
    <w:p>
      <w:pPr>
        <w:pStyle w:val="BodyText2"/>
        <w:rPr>
          <w:rFonts w:ascii="Arial" w:hAnsi="Arial" w:cs="Arial"/>
          <w:szCs w:val="24"/>
        </w:rPr>
      </w:pPr>
    </w:p>
    <w:p>
      <w:pPr>
        <w:pStyle w:val="Heading1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IZMJENE I DOPUNE PROGRAMA ODRŽAVANJA KOMUNALNE INFRASTRUKTURE</w:t>
      </w:r>
    </w:p>
    <w:p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OPĆINI POKUPSKO ZA 2023. GODINU</w:t>
      </w:r>
    </w:p>
    <w:p>
      <w:pPr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održavanja komunalne infrastrukture u Općini Pokupsko za 2023. godinu (Glasnik Zagrebačke županije, br. 51/22 i 32/23 ) ( u daljnjem tekstu: Program) Glava III. mijenja se i glasi: </w:t>
      </w:r>
    </w:p>
    <w:p>
      <w:pPr>
        <w:pStyle w:val="BodyText"/>
        <w:rPr>
          <w:rFonts w:ascii="Arial" w:hAnsi="Arial" w:cs="Arial"/>
          <w:b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III. ISKAZ FINANCIJSKIH SREDSTAVA POTREBNIH ZA OSTVARIVANJE PROGRAMA S NAZNAKOM IZVORA FINACIRANJA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pod </w:t>
      </w:r>
      <w:r>
        <w:rPr>
          <w:rFonts w:ascii="Arial" w:hAnsi="Arial" w:cs="Arial"/>
          <w:szCs w:val="24"/>
        </w:rPr>
        <w:t>III.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Iskaz financijskih sredstava potrebnih za ostvarivanje Programa s naznakom izvora financiranja, </w:t>
      </w:r>
      <w:r>
        <w:rPr>
          <w:rFonts w:ascii="Arial" w:hAnsi="Arial" w:cs="Arial"/>
          <w:bCs/>
          <w:szCs w:val="24"/>
        </w:rPr>
        <w:t xml:space="preserve">troškovi Programa raspoređuju se na slijedeće izvore financiranja: </w:t>
      </w:r>
    </w:p>
    <w:p>
      <w:pPr>
        <w:pStyle w:val="BodyText"/>
        <w:ind w:firstLine="720"/>
        <w:rPr>
          <w:rFonts w:ascii="Arial" w:hAnsi="Arial" w:cs="Arial"/>
          <w:bCs/>
          <w:szCs w:val="24"/>
        </w:rPr>
      </w:pPr>
    </w:p>
    <w:tbl>
      <w:tblPr>
        <w:tblW w:w="10212" w:type="dxa"/>
        <w:jc w:val="center"/>
        <w:tblLook w:val="04A0" w:firstRow="1" w:lastRow="0" w:firstColumn="1" w:lastColumn="0" w:noHBand="0" w:noVBand="1"/>
      </w:tblPr>
      <w:tblGrid>
        <w:gridCol w:w="763"/>
        <w:gridCol w:w="4907"/>
        <w:gridCol w:w="1706"/>
        <w:gridCol w:w="1418"/>
        <w:gridCol w:w="1418"/>
      </w:tblGrid>
      <w:tr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R.br.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Opis poslova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2023. (EUR)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I. izmjene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II. izmjene</w:t>
            </w:r>
          </w:p>
        </w:tc>
      </w:tr>
      <w:tr>
        <w:trPr>
          <w:trHeight w:val="270"/>
          <w:jc w:val="center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>
        <w:trPr>
          <w:trHeight w:val="46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Redovno održavanje nerazvrstanih cesta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za redovno održavanje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redovnog održavanja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33.180,70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33.180,70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31.500,00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Zimska služba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26.544,56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23.000,00</w:t>
            </w:r>
          </w:p>
        </w:tc>
      </w:tr>
      <w:tr>
        <w:trPr>
          <w:trHeight w:val="55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Prometna signalizacija (vertikalna i horizont.)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>
            <w:pPr>
              <w:spacing w:line="48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3.200,00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64.336,14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79.633,68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64.336,14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Vodni doprinos (za uslugu)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uređenje voda (za uslugu)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7.400,00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Komunalni doprinos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Pomoći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46.452,98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54.845,30</w:t>
            </w:r>
          </w:p>
        </w:tc>
      </w:tr>
      <w:tr>
        <w:trPr>
          <w:trHeight w:val="284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52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II.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Pojačano održavanje nerazvrstanih cesta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Investicijsko održavanje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>
        <w:trPr>
          <w:trHeight w:val="5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III.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Poljski i šumski putevi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4.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Redovno održavanje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4.000,00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4.000,00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4.000,00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Šumski doprinos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3.000,00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6.636,14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1.000,00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</w:rPr>
            </w:pPr>
          </w:p>
        </w:tc>
      </w:tr>
      <w:tr>
        <w:trPr>
          <w:trHeight w:val="49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IV.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Javna rasvjeta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Električna energija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33.000,00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za pojačano i redovno održavanje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6.500,00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redovnog održavanja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33.000,00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Usluga za pojačano održavanje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10.000,00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111.053,72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82.500,00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111.053,72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82.500,00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naknada, za uslugu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24.553,72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26.544,56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zadržavanje nezakonito izgrađenih zgrada u prostoru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Vlastiti prihodi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10.000,00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113.455,44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84.509,16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45.955,44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55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javnih zelenih površina 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1.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Košnja trave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18.581,19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18.581,19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22.000,00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Održavanje hortikulture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1.130,00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21.235,65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21.235,65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23.300,00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21.235,65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21.235,65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23.300,00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15.263,12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15.263,12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15.263,12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Šumski doprinos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5.308,91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5.808,91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663,62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2.227,97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</w:tbl>
    <w:p/>
    <w:tbl>
      <w:tblPr>
        <w:tblW w:w="10212" w:type="dxa"/>
        <w:jc w:val="center"/>
        <w:tblLook w:val="04A0" w:firstRow="1" w:lastRow="0" w:firstColumn="1" w:lastColumn="0" w:noHBand="0" w:noVBand="1"/>
      </w:tblPr>
      <w:tblGrid>
        <w:gridCol w:w="763"/>
        <w:gridCol w:w="4907"/>
        <w:gridCol w:w="1706"/>
        <w:gridCol w:w="1418"/>
        <w:gridCol w:w="1418"/>
      </w:tblGrid>
      <w:tr>
        <w:trPr>
          <w:trHeight w:val="557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građevina, uređaja i predmeta javne namjene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 xml:space="preserve">1.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Nasipavanje plaža šljunkom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2.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Održavanje opreme na igralištima i dječjim igralištima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9.423,31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9.423,31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3.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Održavanje ostale opreme javnih površina (oglasne ploče, koševi za smeće, javni bunari, itd)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3.318,07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2.600,00</w:t>
            </w: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2.600,00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14.068,61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2.600,00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54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VII. </w:t>
            </w:r>
          </w:p>
        </w:tc>
        <w:tc>
          <w:tcPr>
            <w:tcW w:w="9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Održavanje čistoće javnih površina</w:t>
            </w: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1.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Čišćenje staza i nogostupa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1.300,00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Čišćenje ostalih javnih površina (kante za smeće, oglasne ploče,...)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663,61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</w:t>
            </w: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1.300,00</w:t>
            </w: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1.300,00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1.300,00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5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VIII. 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Toplana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Usluge tekućeg održavanja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9.290,60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20.000,00</w:t>
            </w:r>
          </w:p>
        </w:tc>
      </w:tr>
      <w:tr>
        <w:trPr>
          <w:trHeight w:val="2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2.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i energija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2.000,00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22.000,00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11.945,06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17.654,46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22.000,00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11.945,06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17.654,46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22.000,00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52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IX. 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Mrtvačnica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Usluge tekućeg održavanja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2.654,46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1.000,00</w:t>
            </w:r>
          </w:p>
        </w:tc>
      </w:tr>
      <w:tr>
        <w:trPr>
          <w:trHeight w:val="28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2.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Materijal i energija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1.327,23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1.300,00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2.300,00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Izvori: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2.300,00</w:t>
            </w:r>
          </w:p>
        </w:tc>
      </w:tr>
      <w:tr>
        <w:trPr>
          <w:trHeight w:val="2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3.981,69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2.300,00</w:t>
            </w:r>
          </w:p>
        </w:tc>
      </w:tr>
      <w:tr>
        <w:trPr>
          <w:trHeight w:val="270"/>
          <w:jc w:val="center"/>
        </w:trPr>
        <w:tc>
          <w:tcPr>
            <w:tcW w:w="10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>
        <w:trPr>
          <w:trHeight w:val="284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Sveukupno: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284.800,58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261.563,70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202.336,14</w:t>
            </w:r>
          </w:p>
        </w:tc>
      </w:tr>
    </w:tbl>
    <w:p>
      <w:pPr>
        <w:pStyle w:val="BodyText"/>
        <w:ind w:firstLine="720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tbl>
      <w:tblPr>
        <w:tblW w:w="10202" w:type="dxa"/>
        <w:jc w:val="center"/>
        <w:tblLook w:val="04A0" w:firstRow="1" w:lastRow="0" w:firstColumn="1" w:lastColumn="0" w:noHBand="0" w:noVBand="1"/>
      </w:tblPr>
      <w:tblGrid>
        <w:gridCol w:w="5382"/>
        <w:gridCol w:w="1606"/>
        <w:gridCol w:w="1607"/>
        <w:gridCol w:w="1607"/>
      </w:tblGrid>
      <w:tr>
        <w:trPr>
          <w:trHeight w:val="35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Vodni doprinos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398,17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100,00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uređenje voda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Komunalni doprinos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4.247,13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Komunalna naknada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53.089,12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53.089,12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49.207,68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Šumski doprinos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10.617,82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10.617,82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8.808,91</w:t>
            </w:r>
          </w:p>
        </w:tc>
      </w:tr>
      <w:tr>
        <w:trPr>
          <w:trHeight w:val="64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Naknada za zadržavanje nezakonito izgrađenih zgrada u prostoru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1.990,84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>Pomoći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13.272,28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Vlastiti prihod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10.000,00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Opći prihodi i primici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199.194,38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175.957,50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132.228,71</w:t>
            </w:r>
          </w:p>
        </w:tc>
      </w:tr>
      <w:tr>
        <w:trPr>
          <w:trHeight w:val="35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284.800,58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261.563,70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202.336,14</w:t>
            </w:r>
          </w:p>
        </w:tc>
      </w:tr>
    </w:tbl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>
      <w:pPr>
        <w:pStyle w:val="BodyText"/>
        <w:jc w:val="center"/>
        <w:rPr>
          <w:rFonts w:ascii="Arial" w:hAnsi="Arial" w:cs="Arial"/>
          <w:szCs w:val="24"/>
        </w:rPr>
      </w:pPr>
    </w:p>
    <w:p>
      <w:pPr>
        <w:pStyle w:val="BodyText2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Ove II. izmjene i dopune Programa stupaju na snagu prvog dana od dana objave u Glasniku Zagrebačke županije. </w:t>
      </w:r>
    </w:p>
    <w:p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bookmarkStart w:id="0" w:name="_GoBack"/>
      <w:bookmarkEnd w:id="0"/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2023. godine  </w:t>
      </w:r>
    </w:p>
    <w:p>
      <w:pPr>
        <w:pStyle w:val="BodyText"/>
        <w:rPr>
          <w:rFonts w:ascii="Arial" w:hAnsi="Arial" w:cs="Arial"/>
          <w:szCs w:val="24"/>
        </w:rPr>
      </w:pP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sectPr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B13"/>
    <w:multiLevelType w:val="hybridMultilevel"/>
    <w:tmpl w:val="A5588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1802"/>
    <w:multiLevelType w:val="hybridMultilevel"/>
    <w:tmpl w:val="79FE6D74"/>
    <w:lvl w:ilvl="0" w:tplc="D766E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DE8"/>
    <w:multiLevelType w:val="hybridMultilevel"/>
    <w:tmpl w:val="48A0B040"/>
    <w:lvl w:ilvl="0" w:tplc="09B602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8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15"/>
  </w:num>
  <w:num w:numId="11">
    <w:abstractNumId w:val="16"/>
  </w:num>
  <w:num w:numId="12">
    <w:abstractNumId w:val="12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 w:numId="20">
    <w:abstractNumId w:val="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FB3175F-8CA6-4109-B184-FE6EE18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pPr>
      <w:spacing w:before="120"/>
      <w:ind w:firstLine="567"/>
      <w:jc w:val="both"/>
    </w:pPr>
  </w:style>
  <w:style w:type="character" w:customStyle="1" w:styleId="BodyText2Char">
    <w:name w:val="Body Text 2 Char"/>
    <w:basedOn w:val="DefaultParagraphFont"/>
    <w:link w:val="BodyText2"/>
    <w:rPr>
      <w:sz w:val="24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7E53-AFE3-4E98-A55C-4F7FCBF0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654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19</cp:revision>
  <cp:lastPrinted>2023-06-13T06:56:00Z</cp:lastPrinted>
  <dcterms:created xsi:type="dcterms:W3CDTF">2021-12-16T08:46:00Z</dcterms:created>
  <dcterms:modified xsi:type="dcterms:W3CDTF">2023-12-05T09:27:00Z</dcterms:modified>
</cp:coreProperties>
</file>