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762951087" r:id="rId8"/>
        </w:object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322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 članak 31. stavak 3. Zakona o postupanju s nezakonito izgrađenim zgradama  (Narodne novine, broj  86/12, 143/13, 65/17 i 14/19) i članka 33. Statuta Općine Pokupsko (Glasnik Zagrebačke županije, br. 13/21), Općinsko vijeće Općine Pokupsko na svojoj __. sjednici održanoj dana __2023. godine donijelo je</w:t>
      </w: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 IZMJENE I DOPUNE PROGRAMA</w:t>
      </w:r>
    </w:p>
    <w:p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korištenja sredstava naknade za zadržavanje nezakonito 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,Bold" w:hAnsi="Arial,Bold" w:cs="Arial,Bold"/>
          <w:b/>
          <w:bCs/>
          <w:szCs w:val="22"/>
        </w:rPr>
        <w:t>izgrađenih zgrada u prostoru za 2023. godinu</w:t>
      </w: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korištenja sredstava naknade za zadržavanje nezakonito izgrađenih zgrada u prostoru za 2023. godinu (Glasnik Zagrebačke županije, br. 51/22) mijenja se članak 2. koji izmijenjen glasi: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„Prihod u visini 30% prikupljenih sredstava naknade planiran je u III. izmjenama i dopunama Proračuna Općine Pokupsko za 2023. godinu u iznosu od 1.100,00 eura, a utrošit će se za kapitalni projekt Javna rasvjeta, i to za radove rekonstrukcije javne rasvjete – najam rasvjetnih tijela.“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 2023. godiine</w:t>
      </w:r>
      <w:bookmarkStart w:id="0" w:name="_GoBack"/>
      <w:bookmarkEnd w:id="0"/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321222B-34E0-46F1-A27A-9DBBEDDA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</cp:revision>
  <cp:lastPrinted>2022-12-06T13:18:00Z</cp:lastPrinted>
  <dcterms:created xsi:type="dcterms:W3CDTF">2023-12-01T14:52:00Z</dcterms:created>
  <dcterms:modified xsi:type="dcterms:W3CDTF">2023-12-01T14:52:00Z</dcterms:modified>
</cp:coreProperties>
</file>