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6.95pt" o:ole="">
            <v:imagedata r:id="rId8" o:title=""/>
          </v:shape>
          <o:OLEObject Type="Embed" ProgID="PhotoFinish" ShapeID="_x0000_i1025" DrawAspect="Content" ObjectID="_1746356803" r:id="rId9"/>
        </w:object>
      </w:r>
      <w:r>
        <w:tab/>
      </w:r>
      <w:r>
        <w:tab/>
      </w:r>
      <w:r>
        <w:tab/>
      </w:r>
      <w:r>
        <w:tab/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898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</w:p>
    <w:p>
      <w:pPr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članka 72. stavka 1. Zakona o komunalnom gospodarstvu (Narodne novine, br. 68/18, 110/18 i 32/20) i članka 33. Statuta Općine Pokupsko (Glasnik Zagrebačke županije, br. 13/21) Općinsko vijeće Općine Pokupsko na svojoj __ sjednici održanoj dana __2023. godine donosi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Heading1"/>
        <w:numPr>
          <w:ilvl w:val="0"/>
          <w:numId w:val="2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IZMJENE I DOPUNE PROGRAMA ODRŽAVANJA KOMUNALNE INFRASTRUKTURE</w:t>
      </w:r>
    </w:p>
    <w:p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OPĆINI POKUPSKO ZA 2023. GODINU</w:t>
      </w:r>
    </w:p>
    <w:p>
      <w:pPr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održavanja komunalne infrastr</w:t>
      </w:r>
      <w:r>
        <w:rPr>
          <w:rFonts w:ascii="Arial" w:hAnsi="Arial" w:cs="Arial"/>
          <w:szCs w:val="24"/>
        </w:rPr>
        <w:t>ukture u Općini Pokupsko za 2023</w:t>
      </w:r>
      <w:r>
        <w:rPr>
          <w:rFonts w:ascii="Arial" w:hAnsi="Arial" w:cs="Arial"/>
          <w:szCs w:val="24"/>
        </w:rPr>
        <w:t xml:space="preserve">. godinu (Glasnik Zagrebačke županije, br. </w:t>
      </w:r>
      <w:r>
        <w:rPr>
          <w:rFonts w:ascii="Arial" w:hAnsi="Arial" w:cs="Arial"/>
          <w:szCs w:val="24"/>
        </w:rPr>
        <w:t>51/22</w:t>
      </w:r>
      <w:r>
        <w:rPr>
          <w:rFonts w:ascii="Arial" w:hAnsi="Arial" w:cs="Arial"/>
          <w:szCs w:val="24"/>
        </w:rPr>
        <w:t xml:space="preserve"> ) ( u daljnjem tekstu: Program) Glava III. mijenja se i glasi: </w:t>
      </w:r>
    </w:p>
    <w:p>
      <w:pPr>
        <w:pStyle w:val="BodyText"/>
        <w:rPr>
          <w:rFonts w:ascii="Arial" w:hAnsi="Arial" w:cs="Arial"/>
          <w:b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III. ISKAZ FINANCIJSKIH SREDSTAVA POTREBNIH ZA OSTVARIVANJE PROGRAMA S NAZNAKOM IZVORA FINACIRANJA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/>
    <w:p/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 skladu sa sadržajem Programa prikazanim pod </w:t>
      </w:r>
      <w:r>
        <w:rPr>
          <w:rFonts w:ascii="Arial" w:hAnsi="Arial" w:cs="Arial"/>
          <w:szCs w:val="24"/>
        </w:rPr>
        <w:t>III.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Iskaz financijskih sredstava potrebnih za ostvarivanje Programa s naznakom izvora financiranja, </w:t>
      </w:r>
      <w:r>
        <w:rPr>
          <w:rFonts w:ascii="Arial" w:hAnsi="Arial" w:cs="Arial"/>
          <w:bCs/>
          <w:szCs w:val="24"/>
        </w:rPr>
        <w:t xml:space="preserve">troškovi Programa raspoređuju se na slijedeće izvore financiranja: </w:t>
      </w:r>
    </w:p>
    <w:p>
      <w:pPr>
        <w:pStyle w:val="BodyText"/>
        <w:ind w:firstLine="720"/>
        <w:rPr>
          <w:rFonts w:ascii="Arial" w:hAnsi="Arial" w:cs="Arial"/>
          <w:bCs/>
          <w:szCs w:val="24"/>
        </w:rPr>
      </w:pPr>
    </w:p>
    <w:tbl>
      <w:tblPr>
        <w:tblW w:w="8383" w:type="dxa"/>
        <w:tblInd w:w="-5" w:type="dxa"/>
        <w:tblLook w:val="04A0" w:firstRow="1" w:lastRow="0" w:firstColumn="1" w:lastColumn="0" w:noHBand="0" w:noVBand="1"/>
      </w:tblPr>
      <w:tblGrid>
        <w:gridCol w:w="763"/>
        <w:gridCol w:w="5451"/>
        <w:gridCol w:w="1418"/>
        <w:gridCol w:w="1418"/>
      </w:tblGrid>
      <w:tr>
        <w:trPr>
          <w:trHeight w:val="28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R.br.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Opis poslova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2023. (EUR)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I. izmjene</w:t>
            </w:r>
          </w:p>
        </w:tc>
      </w:tr>
      <w:tr>
        <w:trPr>
          <w:trHeight w:val="270"/>
        </w:trPr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>
        <w:trPr>
          <w:trHeight w:val="113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I. 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Redovno održavanje nerazvrstanih cesta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Materijal za redovno održavanje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6.636,14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6.636,14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Usluga redovnog održavanja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33.180,70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33.180,70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Zimska služba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26.544,56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26.544,56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Prometna signalizacija (vertikalna i horizont.)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13.272,28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13.272,28</w:t>
            </w:r>
          </w:p>
        </w:tc>
      </w:tr>
      <w:tr>
        <w:trPr>
          <w:trHeight w:val="28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79.633,68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79.633,68</w:t>
            </w:r>
          </w:p>
        </w:tc>
      </w:tr>
      <w:tr>
        <w:trPr>
          <w:trHeight w:val="28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79.633,68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79.633,68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Vodni doprinos (za uslugu)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398,17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398,17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Naknada za uređenje voda (za uslugu)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Komunalna naknada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13.272,28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13.272,28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Komunalni doprinos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4.247,13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4.247,13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Pomoći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13.272,28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13.272,28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46.452,98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46.452,98</w:t>
            </w:r>
          </w:p>
        </w:tc>
      </w:tr>
      <w:tr>
        <w:trPr>
          <w:trHeight w:val="284"/>
        </w:trPr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>
        <w:trPr>
          <w:trHeight w:val="113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II. 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Pojačano održavanje nerazvrstanih cesta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Investicijsko održavanje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</w:tr>
      <w:tr>
        <w:trPr>
          <w:trHeight w:val="28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</w:p>
        </w:tc>
      </w:tr>
      <w:tr>
        <w:trPr>
          <w:trHeight w:val="28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</w:tr>
      <w:tr>
        <w:trPr>
          <w:trHeight w:val="284"/>
        </w:trPr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>
        <w:trPr>
          <w:trHeight w:val="56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III. 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Poljski i šumski putevi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4. 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Redovno održavanje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11.945,05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11.945,05</w:t>
            </w:r>
          </w:p>
        </w:tc>
      </w:tr>
      <w:tr>
        <w:trPr>
          <w:trHeight w:val="28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11.945,05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11.945,05</w:t>
            </w:r>
          </w:p>
        </w:tc>
      </w:tr>
      <w:tr>
        <w:trPr>
          <w:trHeight w:val="28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11.945,05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11.945,05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Šumski doprinos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5.308,91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5.308,91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6.636,14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6.636,14</w:t>
            </w:r>
          </w:p>
        </w:tc>
      </w:tr>
      <w:tr>
        <w:trPr>
          <w:trHeight w:val="270"/>
        </w:trPr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</w:rPr>
            </w:pP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</w:rPr>
            </w:pPr>
          </w:p>
        </w:tc>
      </w:tr>
      <w:tr>
        <w:trPr>
          <w:trHeight w:val="28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IV.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Javna rasvjeta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Električna energija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60.000,00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Materijal za pojačano i redovno održavanje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6.500,00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6.500,00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Usluga redovnog održavanja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20.000,00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Usluga za pojačano održavanje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26.500,00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24.553,72</w:t>
            </w:r>
          </w:p>
        </w:tc>
      </w:tr>
      <w:tr>
        <w:trPr>
          <w:trHeight w:val="28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140.000,00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111.053,72</w:t>
            </w:r>
          </w:p>
        </w:tc>
      </w:tr>
      <w:tr>
        <w:trPr>
          <w:trHeight w:val="28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140.000,00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111.053,72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Komunalna naknada, za uslugu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24.553,72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24.553,72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Naknada za zadržavanje nezakonito izgrađenih zgrada u prostoru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113.455,44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84.509,16</w:t>
            </w:r>
          </w:p>
        </w:tc>
      </w:tr>
      <w:tr>
        <w:trPr>
          <w:trHeight w:val="270"/>
        </w:trPr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>
        <w:trPr>
          <w:trHeight w:val="28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V. 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Održavanje javnih zelenih površina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1. 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Košnja trave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18.581,19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18.581,19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Održavanje hortikulture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2.654,46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2.654,46</w:t>
            </w:r>
          </w:p>
        </w:tc>
      </w:tr>
      <w:tr>
        <w:trPr>
          <w:trHeight w:val="28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21.235,65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21.235,65</w:t>
            </w:r>
          </w:p>
        </w:tc>
      </w:tr>
      <w:tr>
        <w:trPr>
          <w:trHeight w:val="28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21.235,65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21.235,65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Komunalna naknada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15.263,12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15.263,12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Šumski doprinos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5.308,91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5.308,91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663,62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663,62</w:t>
            </w:r>
          </w:p>
        </w:tc>
      </w:tr>
      <w:tr>
        <w:trPr>
          <w:trHeight w:val="270"/>
        </w:trPr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>
        <w:trPr>
          <w:trHeight w:val="28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VI. 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Održavanje građevina, uređaja i predmeta javne namjene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1. 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Nasipavanje plaža šljunkom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1.327,23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1.327,23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2. 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Održavanje opreme na igralištima i dječjim igralištima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9.423,31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9.423,31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3. 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Održavanje ostale opreme javnih površina (oglasne ploče, koševi za smeće, javni bunari, </w:t>
            </w:r>
            <w:proofErr w:type="spellStart"/>
            <w:r>
              <w:rPr>
                <w:rFonts w:ascii="Arial" w:hAnsi="Arial" w:cs="Arial"/>
                <w:bCs/>
                <w:color w:val="000000"/>
                <w:szCs w:val="24"/>
              </w:rPr>
              <w:t>itd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4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3.318,07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3.318,07</w:t>
            </w:r>
          </w:p>
        </w:tc>
      </w:tr>
      <w:tr>
        <w:trPr>
          <w:trHeight w:val="28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14.068,61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14.068,61</w:t>
            </w:r>
          </w:p>
        </w:tc>
      </w:tr>
      <w:tr>
        <w:trPr>
          <w:trHeight w:val="28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14.068,61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14.068,61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Komunalna naknada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14.068,61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14.068,61</w:t>
            </w:r>
          </w:p>
        </w:tc>
      </w:tr>
      <w:tr>
        <w:trPr>
          <w:trHeight w:val="270"/>
        </w:trPr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>
        <w:trPr>
          <w:trHeight w:val="28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VII. 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Održavanje čistoće javnih površina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1. 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Čišćenje staza i nogostupa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1.327,23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1.327,23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Čišćenje ostalih javnih površina (kante za smeće, oglasne ploče,...)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663,61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663,61</w:t>
            </w:r>
          </w:p>
        </w:tc>
      </w:tr>
      <w:tr>
        <w:trPr>
          <w:trHeight w:val="28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1.990,84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1.990,84</w:t>
            </w:r>
          </w:p>
        </w:tc>
      </w:tr>
      <w:tr>
        <w:trPr>
          <w:trHeight w:val="28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1.990,84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1.990,84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</w:tr>
      <w:tr>
        <w:trPr>
          <w:trHeight w:val="270"/>
        </w:trPr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</w:rPr>
            </w:pPr>
          </w:p>
        </w:tc>
      </w:tr>
      <w:tr>
        <w:trPr>
          <w:trHeight w:val="28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VIII. 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Toplana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Usluge tekućeg održavanja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9.290,60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15.000,00</w:t>
            </w:r>
          </w:p>
        </w:tc>
      </w:tr>
      <w:tr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2. 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Materijal i energija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2.654,46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2.654,46</w:t>
            </w:r>
          </w:p>
        </w:tc>
      </w:tr>
      <w:tr>
        <w:trPr>
          <w:trHeight w:val="28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11.945,06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17.654,46</w:t>
            </w:r>
          </w:p>
        </w:tc>
      </w:tr>
      <w:tr>
        <w:trPr>
          <w:trHeight w:val="28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11.945,06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17.654,46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11.945,06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17.654,46</w:t>
            </w:r>
          </w:p>
        </w:tc>
      </w:tr>
      <w:tr>
        <w:trPr>
          <w:trHeight w:val="270"/>
        </w:trPr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>
        <w:trPr>
          <w:trHeight w:val="28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IX. 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Mrtvačnica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>
        <w:trPr>
          <w:trHeight w:val="28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Usluge tekućeg održavanja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2.654,46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2.654,46</w:t>
            </w:r>
          </w:p>
        </w:tc>
      </w:tr>
      <w:tr>
        <w:trPr>
          <w:trHeight w:val="28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Materijal i energija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1.327,23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1.327,23</w:t>
            </w:r>
          </w:p>
        </w:tc>
      </w:tr>
      <w:tr>
        <w:trPr>
          <w:trHeight w:val="28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3.981,69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3.981,69</w:t>
            </w:r>
          </w:p>
        </w:tc>
      </w:tr>
      <w:tr>
        <w:trPr>
          <w:trHeight w:val="28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3.981,69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3.981,69</w:t>
            </w:r>
          </w:p>
        </w:tc>
      </w:tr>
      <w:tr>
        <w:trPr>
          <w:trHeight w:val="27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3.981,69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3.981,69</w:t>
            </w:r>
          </w:p>
        </w:tc>
      </w:tr>
      <w:tr>
        <w:trPr>
          <w:trHeight w:val="270"/>
        </w:trPr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>
        <w:trPr>
          <w:trHeight w:val="28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Sveukupno: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284.800,58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261.563,70</w:t>
            </w:r>
          </w:p>
        </w:tc>
      </w:tr>
    </w:tbl>
    <w:p>
      <w:pPr>
        <w:pStyle w:val="BodyText"/>
        <w:ind w:firstLine="720"/>
        <w:rPr>
          <w:rFonts w:ascii="Arial" w:hAnsi="Arial" w:cs="Arial"/>
          <w:bCs/>
          <w:szCs w:val="24"/>
        </w:rPr>
      </w:pPr>
    </w:p>
    <w:p>
      <w:pPr>
        <w:pStyle w:val="BodyText"/>
        <w:rPr>
          <w:rFonts w:ascii="Arial" w:hAnsi="Arial" w:cs="Arial"/>
          <w:bCs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5945"/>
        <w:gridCol w:w="1566"/>
        <w:gridCol w:w="1566"/>
      </w:tblGrid>
      <w:tr>
        <w:trPr>
          <w:trHeight w:val="3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Vodni doprinos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398,17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398,17</w:t>
            </w:r>
          </w:p>
        </w:tc>
      </w:tr>
      <w:tr>
        <w:trPr>
          <w:trHeight w:val="3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Naknada za uređenje voda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</w:tr>
      <w:tr>
        <w:trPr>
          <w:trHeight w:val="3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Komunalni doprinos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4.247,13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4.247,13</w:t>
            </w:r>
          </w:p>
        </w:tc>
      </w:tr>
      <w:tr>
        <w:trPr>
          <w:trHeight w:val="3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Komunalna naknada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53.089,12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53.089,12</w:t>
            </w:r>
          </w:p>
        </w:tc>
      </w:tr>
      <w:tr>
        <w:trPr>
          <w:trHeight w:val="3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Šumski doprinos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10.617,82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10.617,82</w:t>
            </w:r>
          </w:p>
        </w:tc>
      </w:tr>
      <w:tr>
        <w:trPr>
          <w:trHeight w:val="64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Naknada za zadržavanje nezakonito izgrađenih zgrada u prostoru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</w:tr>
      <w:tr>
        <w:trPr>
          <w:trHeight w:val="3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Pomoći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13.272,28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13.272,28</w:t>
            </w:r>
          </w:p>
        </w:tc>
        <w:bookmarkStart w:id="0" w:name="_GoBack"/>
        <w:bookmarkEnd w:id="0"/>
      </w:tr>
      <w:tr>
        <w:trPr>
          <w:trHeight w:val="3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199.194,38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175.957,50</w:t>
            </w:r>
          </w:p>
        </w:tc>
      </w:tr>
      <w:tr>
        <w:trPr>
          <w:trHeight w:val="3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284.800,58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261.563,70</w:t>
            </w:r>
          </w:p>
        </w:tc>
      </w:tr>
    </w:tbl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Ove I. izmjene i dopune Programa stupaju na snagu prvog dana od dana objave u Glasniku Zagrebačke županije. </w:t>
      </w:r>
    </w:p>
    <w:p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2023. godine 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sectPr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22E0"/>
    <w:multiLevelType w:val="hybridMultilevel"/>
    <w:tmpl w:val="438C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8B0"/>
    <w:multiLevelType w:val="hybridMultilevel"/>
    <w:tmpl w:val="F26C9B8E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B13"/>
    <w:multiLevelType w:val="hybridMultilevel"/>
    <w:tmpl w:val="A5588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1802"/>
    <w:multiLevelType w:val="hybridMultilevel"/>
    <w:tmpl w:val="79FE6D74"/>
    <w:lvl w:ilvl="0" w:tplc="D766E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15F9"/>
    <w:multiLevelType w:val="hybridMultilevel"/>
    <w:tmpl w:val="EFBE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84DE8"/>
    <w:multiLevelType w:val="hybridMultilevel"/>
    <w:tmpl w:val="48A0B040"/>
    <w:lvl w:ilvl="0" w:tplc="09B602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320A"/>
    <w:multiLevelType w:val="hybridMultilevel"/>
    <w:tmpl w:val="C88E9922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E06DB"/>
    <w:multiLevelType w:val="hybridMultilevel"/>
    <w:tmpl w:val="BB704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50576"/>
    <w:multiLevelType w:val="hybridMultilevel"/>
    <w:tmpl w:val="15DCD9DA"/>
    <w:lvl w:ilvl="0" w:tplc="EFECD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82571"/>
    <w:multiLevelType w:val="hybridMultilevel"/>
    <w:tmpl w:val="56F67A02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27D6E"/>
    <w:multiLevelType w:val="hybridMultilevel"/>
    <w:tmpl w:val="952C5350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71039"/>
    <w:multiLevelType w:val="hybridMultilevel"/>
    <w:tmpl w:val="6736DD6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5336A"/>
    <w:multiLevelType w:val="hybridMultilevel"/>
    <w:tmpl w:val="51E2B1AE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E7A63"/>
    <w:multiLevelType w:val="hybridMultilevel"/>
    <w:tmpl w:val="0C4E929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8"/>
  </w:num>
  <w:num w:numId="6">
    <w:abstractNumId w:val="17"/>
  </w:num>
  <w:num w:numId="7">
    <w:abstractNumId w:val="11"/>
  </w:num>
  <w:num w:numId="8">
    <w:abstractNumId w:val="20"/>
  </w:num>
  <w:num w:numId="9">
    <w:abstractNumId w:val="14"/>
  </w:num>
  <w:num w:numId="10">
    <w:abstractNumId w:val="15"/>
  </w:num>
  <w:num w:numId="11">
    <w:abstractNumId w:val="16"/>
  </w:num>
  <w:num w:numId="12">
    <w:abstractNumId w:val="12"/>
  </w:num>
  <w:num w:numId="13">
    <w:abstractNumId w:val="1"/>
  </w:num>
  <w:num w:numId="14">
    <w:abstractNumId w:val="0"/>
  </w:num>
  <w:num w:numId="15">
    <w:abstractNumId w:val="8"/>
  </w:num>
  <w:num w:numId="16">
    <w:abstractNumId w:val="13"/>
  </w:num>
  <w:num w:numId="17">
    <w:abstractNumId w:val="10"/>
  </w:num>
  <w:num w:numId="18">
    <w:abstractNumId w:val="9"/>
  </w:num>
  <w:num w:numId="19">
    <w:abstractNumId w:val="5"/>
  </w:num>
  <w:num w:numId="20">
    <w:abstractNumId w:val="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B3175F-8CA6-4109-B184-FE6EE189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character" w:customStyle="1" w:styleId="BodyTextChar">
    <w:name w:val="Body Text Char"/>
    <w:basedOn w:val="DefaultParagraphFont"/>
    <w:link w:val="BodyTex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495F-5F94-4393-B870-0DB9F996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13</cp:revision>
  <cp:lastPrinted>2022-12-07T07:54:00Z</cp:lastPrinted>
  <dcterms:created xsi:type="dcterms:W3CDTF">2021-12-16T08:46:00Z</dcterms:created>
  <dcterms:modified xsi:type="dcterms:W3CDTF">2023-05-23T12:20:00Z</dcterms:modified>
</cp:coreProperties>
</file>